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1B4" w:rsidRPr="005F538D" w:rsidRDefault="006901B4" w:rsidP="006901B4">
      <w:pPr>
        <w:jc w:val="center"/>
        <w:rPr>
          <w:rFonts w:ascii="Arial" w:hAnsi="Arial" w:cs="Arial"/>
          <w:b/>
          <w:sz w:val="22"/>
          <w:szCs w:val="22"/>
        </w:rPr>
      </w:pPr>
      <w:r w:rsidRPr="005F538D">
        <w:rPr>
          <w:rFonts w:ascii="Arial" w:hAnsi="Arial" w:cs="Arial"/>
          <w:b/>
          <w:sz w:val="22"/>
          <w:szCs w:val="22"/>
        </w:rPr>
        <w:t>Transboundary Resources Assessment Committee</w:t>
      </w:r>
    </w:p>
    <w:p w:rsidR="006901B4" w:rsidRPr="005F538D" w:rsidRDefault="006901B4" w:rsidP="006901B4">
      <w:pPr>
        <w:jc w:val="center"/>
        <w:rPr>
          <w:rFonts w:ascii="Arial" w:hAnsi="Arial" w:cs="Arial"/>
          <w:b/>
          <w:sz w:val="22"/>
          <w:szCs w:val="22"/>
        </w:rPr>
      </w:pPr>
      <w:r w:rsidRPr="005F538D">
        <w:rPr>
          <w:rFonts w:ascii="Arial" w:hAnsi="Arial" w:cs="Arial"/>
          <w:b/>
          <w:sz w:val="22"/>
          <w:szCs w:val="22"/>
        </w:rPr>
        <w:t xml:space="preserve">Assessment of </w:t>
      </w:r>
      <w:r w:rsidR="00026B14">
        <w:rPr>
          <w:rFonts w:ascii="Arial" w:hAnsi="Arial" w:cs="Arial"/>
          <w:b/>
          <w:sz w:val="22"/>
          <w:szCs w:val="22"/>
        </w:rPr>
        <w:t xml:space="preserve">Eastern </w:t>
      </w:r>
      <w:r w:rsidRPr="005F538D">
        <w:rPr>
          <w:rFonts w:ascii="Arial" w:hAnsi="Arial" w:cs="Arial"/>
          <w:b/>
          <w:sz w:val="22"/>
          <w:szCs w:val="22"/>
        </w:rPr>
        <w:t xml:space="preserve">Georges Bank Cod, Haddock and </w:t>
      </w:r>
      <w:r w:rsidR="00026B14">
        <w:rPr>
          <w:rFonts w:ascii="Arial" w:hAnsi="Arial" w:cs="Arial"/>
          <w:b/>
          <w:sz w:val="22"/>
          <w:szCs w:val="22"/>
        </w:rPr>
        <w:t xml:space="preserve">Georges </w:t>
      </w:r>
      <w:r w:rsidR="00026B14">
        <w:rPr>
          <w:rFonts w:ascii="Arial" w:hAnsi="Arial" w:cs="Arial"/>
          <w:b/>
          <w:sz w:val="22"/>
          <w:szCs w:val="22"/>
        </w:rPr>
        <w:br/>
        <w:t xml:space="preserve">Bank </w:t>
      </w:r>
      <w:r w:rsidRPr="005F538D">
        <w:rPr>
          <w:rFonts w:ascii="Arial" w:hAnsi="Arial" w:cs="Arial"/>
          <w:b/>
          <w:sz w:val="22"/>
          <w:szCs w:val="22"/>
        </w:rPr>
        <w:t>Yellowtail</w:t>
      </w:r>
    </w:p>
    <w:p w:rsidR="006901B4" w:rsidRPr="005F538D" w:rsidRDefault="006901B4" w:rsidP="006901B4">
      <w:pPr>
        <w:jc w:val="center"/>
        <w:rPr>
          <w:rFonts w:ascii="Arial" w:hAnsi="Arial" w:cs="Arial"/>
          <w:b/>
          <w:sz w:val="22"/>
          <w:szCs w:val="22"/>
        </w:rPr>
      </w:pPr>
    </w:p>
    <w:p w:rsidR="006901B4" w:rsidRDefault="00FA220D" w:rsidP="006901B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Ju</w:t>
      </w:r>
      <w:r w:rsidR="00891AFC">
        <w:rPr>
          <w:rFonts w:ascii="Arial" w:hAnsi="Arial" w:cs="Arial"/>
          <w:b/>
          <w:sz w:val="22"/>
          <w:szCs w:val="22"/>
        </w:rPr>
        <w:t>ne</w:t>
      </w:r>
      <w:r w:rsidR="000A31FE">
        <w:rPr>
          <w:rFonts w:ascii="Arial" w:hAnsi="Arial" w:cs="Arial"/>
          <w:b/>
          <w:sz w:val="22"/>
          <w:szCs w:val="22"/>
        </w:rPr>
        <w:t xml:space="preserve"> 23-2</w:t>
      </w:r>
      <w:r w:rsidR="007F5495">
        <w:rPr>
          <w:rFonts w:ascii="Arial" w:hAnsi="Arial" w:cs="Arial"/>
          <w:b/>
          <w:sz w:val="22"/>
          <w:szCs w:val="22"/>
        </w:rPr>
        <w:t>6</w:t>
      </w:r>
      <w:r w:rsidR="00F23143">
        <w:rPr>
          <w:rFonts w:ascii="Arial" w:hAnsi="Arial" w:cs="Arial"/>
          <w:b/>
          <w:sz w:val="22"/>
          <w:szCs w:val="22"/>
        </w:rPr>
        <w:t xml:space="preserve">, </w:t>
      </w:r>
      <w:r w:rsidR="00B978F8">
        <w:rPr>
          <w:rFonts w:ascii="Arial" w:hAnsi="Arial" w:cs="Arial"/>
          <w:b/>
          <w:sz w:val="22"/>
          <w:szCs w:val="22"/>
        </w:rPr>
        <w:t>201</w:t>
      </w:r>
      <w:r>
        <w:rPr>
          <w:rFonts w:ascii="Arial" w:hAnsi="Arial" w:cs="Arial"/>
          <w:b/>
          <w:sz w:val="22"/>
          <w:szCs w:val="22"/>
        </w:rPr>
        <w:t>4</w:t>
      </w:r>
    </w:p>
    <w:p w:rsidR="006901B4" w:rsidRPr="007D0E7A" w:rsidRDefault="00FA220D" w:rsidP="006901B4">
      <w:pPr>
        <w:pStyle w:val="Titl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Wood</w:t>
      </w:r>
      <w:r w:rsidR="00DA6BC3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 Hole, Ma.</w:t>
      </w:r>
    </w:p>
    <w:p w:rsidR="006901B4" w:rsidRPr="007D0E7A" w:rsidRDefault="006901B4" w:rsidP="006901B4">
      <w:pPr>
        <w:rPr>
          <w:rFonts w:ascii="Arial" w:hAnsi="Arial" w:cs="Arial"/>
          <w:b/>
          <w:sz w:val="22"/>
          <w:szCs w:val="22"/>
        </w:rPr>
      </w:pPr>
    </w:p>
    <w:p w:rsidR="006901B4" w:rsidRPr="007D0E7A" w:rsidRDefault="006901B4" w:rsidP="006901B4">
      <w:pPr>
        <w:jc w:val="center"/>
        <w:rPr>
          <w:rFonts w:ascii="Arial" w:hAnsi="Arial" w:cs="Arial"/>
          <w:b/>
          <w:sz w:val="22"/>
          <w:szCs w:val="22"/>
        </w:rPr>
      </w:pPr>
      <w:r w:rsidRPr="007D0E7A">
        <w:rPr>
          <w:rFonts w:ascii="Arial" w:hAnsi="Arial" w:cs="Arial"/>
          <w:b/>
          <w:sz w:val="22"/>
          <w:szCs w:val="22"/>
        </w:rPr>
        <w:t>TERMS OF REFERENCE</w:t>
      </w:r>
    </w:p>
    <w:p w:rsidR="006901B4" w:rsidRPr="007D0E7A" w:rsidRDefault="006901B4" w:rsidP="006901B4">
      <w:pPr>
        <w:rPr>
          <w:rFonts w:ascii="Arial" w:hAnsi="Arial" w:cs="Arial"/>
          <w:sz w:val="22"/>
          <w:szCs w:val="22"/>
        </w:rPr>
      </w:pPr>
    </w:p>
    <w:p w:rsidR="006901B4" w:rsidRPr="00B61AB8" w:rsidRDefault="006901B4" w:rsidP="006901B4">
      <w:pPr>
        <w:rPr>
          <w:rFonts w:ascii="Arial" w:hAnsi="Arial" w:cs="Arial"/>
          <w:b/>
          <w:sz w:val="22"/>
          <w:szCs w:val="22"/>
        </w:rPr>
      </w:pPr>
      <w:r w:rsidRPr="00B61AB8">
        <w:rPr>
          <w:rFonts w:ascii="Arial" w:hAnsi="Arial" w:cs="Arial"/>
          <w:b/>
          <w:sz w:val="22"/>
          <w:szCs w:val="22"/>
        </w:rPr>
        <w:t>Context</w:t>
      </w:r>
    </w:p>
    <w:p w:rsidR="006901B4" w:rsidRPr="00B61AB8" w:rsidRDefault="006901B4" w:rsidP="006901B4">
      <w:pPr>
        <w:rPr>
          <w:rFonts w:ascii="Arial" w:hAnsi="Arial" w:cs="Arial"/>
          <w:sz w:val="22"/>
          <w:szCs w:val="22"/>
        </w:rPr>
      </w:pPr>
      <w:r w:rsidRPr="00B61AB8">
        <w:rPr>
          <w:rFonts w:ascii="Arial" w:hAnsi="Arial" w:cs="Arial"/>
          <w:sz w:val="22"/>
          <w:szCs w:val="22"/>
        </w:rPr>
        <w:t xml:space="preserve"> </w:t>
      </w:r>
    </w:p>
    <w:p w:rsidR="006901B4" w:rsidRPr="00B61AB8" w:rsidRDefault="006901B4" w:rsidP="006901B4">
      <w:pPr>
        <w:jc w:val="both"/>
        <w:rPr>
          <w:rFonts w:ascii="Arial" w:hAnsi="Arial" w:cs="Arial"/>
          <w:sz w:val="22"/>
          <w:szCs w:val="22"/>
        </w:rPr>
      </w:pPr>
      <w:r w:rsidRPr="00B61AB8">
        <w:rPr>
          <w:rFonts w:ascii="Arial" w:hAnsi="Arial" w:cs="Arial"/>
          <w:sz w:val="22"/>
          <w:szCs w:val="22"/>
        </w:rPr>
        <w:t xml:space="preserve">The </w:t>
      </w:r>
      <w:smartTag w:uri="urn:schemas-microsoft-com:office:smarttags" w:element="stockticker">
        <w:r w:rsidRPr="00B61AB8">
          <w:rPr>
            <w:rFonts w:ascii="Arial" w:hAnsi="Arial" w:cs="Arial"/>
            <w:sz w:val="22"/>
            <w:szCs w:val="22"/>
          </w:rPr>
          <w:t>TRAC</w:t>
        </w:r>
      </w:smartTag>
      <w:r w:rsidRPr="00B61AB8">
        <w:rPr>
          <w:rFonts w:ascii="Arial" w:hAnsi="Arial" w:cs="Arial"/>
          <w:sz w:val="22"/>
          <w:szCs w:val="22"/>
        </w:rPr>
        <w:t xml:space="preserve"> annually obtains requests for harvest advice on transboundary resources from the Transboundary Management Guidance Committee (TMGC).</w:t>
      </w:r>
    </w:p>
    <w:p w:rsidR="006901B4" w:rsidRPr="00B61AB8" w:rsidRDefault="006901B4" w:rsidP="006901B4">
      <w:pPr>
        <w:jc w:val="both"/>
        <w:rPr>
          <w:rFonts w:ascii="Arial" w:hAnsi="Arial" w:cs="Arial"/>
          <w:sz w:val="22"/>
          <w:szCs w:val="22"/>
        </w:rPr>
      </w:pPr>
    </w:p>
    <w:p w:rsidR="006901B4" w:rsidRDefault="006901B4" w:rsidP="00D86209">
      <w:pPr>
        <w:jc w:val="both"/>
        <w:rPr>
          <w:rFonts w:ascii="Arial" w:hAnsi="Arial" w:cs="Arial"/>
          <w:sz w:val="22"/>
          <w:szCs w:val="22"/>
        </w:rPr>
      </w:pPr>
      <w:r w:rsidRPr="00B61AB8">
        <w:rPr>
          <w:rFonts w:ascii="Arial" w:hAnsi="Arial" w:cs="Arial"/>
          <w:sz w:val="22"/>
          <w:szCs w:val="22"/>
        </w:rPr>
        <w:t>For the following resources:</w:t>
      </w:r>
      <w:r w:rsidR="00D86209">
        <w:rPr>
          <w:rFonts w:ascii="Arial" w:hAnsi="Arial" w:cs="Arial"/>
          <w:sz w:val="22"/>
          <w:szCs w:val="22"/>
        </w:rPr>
        <w:t xml:space="preserve"> </w:t>
      </w:r>
      <w:r w:rsidRPr="00B61AB8">
        <w:rPr>
          <w:rFonts w:ascii="Arial" w:hAnsi="Arial" w:cs="Arial"/>
          <w:sz w:val="22"/>
          <w:szCs w:val="22"/>
        </w:rPr>
        <w:t xml:space="preserve">Eastern Georges Bank </w:t>
      </w:r>
      <w:r w:rsidR="007B4C41">
        <w:rPr>
          <w:rFonts w:ascii="Arial" w:hAnsi="Arial" w:cs="Arial"/>
          <w:sz w:val="22"/>
          <w:szCs w:val="22"/>
        </w:rPr>
        <w:t>C</w:t>
      </w:r>
      <w:r w:rsidRPr="00B61AB8">
        <w:rPr>
          <w:rFonts w:ascii="Arial" w:hAnsi="Arial" w:cs="Arial"/>
          <w:sz w:val="22"/>
          <w:szCs w:val="22"/>
        </w:rPr>
        <w:t>od</w:t>
      </w:r>
      <w:r w:rsidR="00D86209">
        <w:rPr>
          <w:rFonts w:ascii="Arial" w:hAnsi="Arial" w:cs="Arial"/>
          <w:sz w:val="22"/>
          <w:szCs w:val="22"/>
        </w:rPr>
        <w:t xml:space="preserve">, </w:t>
      </w:r>
      <w:r w:rsidRPr="00B61AB8">
        <w:rPr>
          <w:rFonts w:ascii="Arial" w:hAnsi="Arial" w:cs="Arial"/>
          <w:sz w:val="22"/>
          <w:szCs w:val="22"/>
        </w:rPr>
        <w:t xml:space="preserve">Eastern Georges Bank </w:t>
      </w:r>
      <w:r w:rsidR="007B4C41">
        <w:rPr>
          <w:rFonts w:ascii="Arial" w:hAnsi="Arial" w:cs="Arial"/>
          <w:sz w:val="22"/>
          <w:szCs w:val="22"/>
        </w:rPr>
        <w:t>H</w:t>
      </w:r>
      <w:r w:rsidRPr="00B61AB8">
        <w:rPr>
          <w:rFonts w:ascii="Arial" w:hAnsi="Arial" w:cs="Arial"/>
          <w:sz w:val="22"/>
          <w:szCs w:val="22"/>
        </w:rPr>
        <w:t>addock</w:t>
      </w:r>
      <w:r w:rsidR="00D86209">
        <w:rPr>
          <w:rFonts w:ascii="Arial" w:hAnsi="Arial" w:cs="Arial"/>
          <w:sz w:val="22"/>
          <w:szCs w:val="22"/>
        </w:rPr>
        <w:t xml:space="preserve">, and </w:t>
      </w:r>
      <w:r w:rsidRPr="00B61AB8">
        <w:rPr>
          <w:rFonts w:ascii="Arial" w:hAnsi="Arial" w:cs="Arial"/>
          <w:sz w:val="22"/>
          <w:szCs w:val="22"/>
        </w:rPr>
        <w:t xml:space="preserve">Georges Bank </w:t>
      </w:r>
      <w:r w:rsidR="007B4C41">
        <w:rPr>
          <w:rFonts w:ascii="Arial" w:hAnsi="Arial" w:cs="Arial"/>
          <w:sz w:val="22"/>
          <w:szCs w:val="22"/>
        </w:rPr>
        <w:t>Y</w:t>
      </w:r>
      <w:r w:rsidRPr="00B61AB8">
        <w:rPr>
          <w:rFonts w:ascii="Arial" w:hAnsi="Arial" w:cs="Arial"/>
          <w:sz w:val="22"/>
          <w:szCs w:val="22"/>
        </w:rPr>
        <w:t xml:space="preserve">ellowtail </w:t>
      </w:r>
      <w:r w:rsidR="007B4C41">
        <w:rPr>
          <w:rFonts w:ascii="Arial" w:hAnsi="Arial" w:cs="Arial"/>
          <w:sz w:val="22"/>
          <w:szCs w:val="22"/>
        </w:rPr>
        <w:t>F</w:t>
      </w:r>
      <w:r w:rsidRPr="00B61AB8">
        <w:rPr>
          <w:rFonts w:ascii="Arial" w:hAnsi="Arial" w:cs="Arial"/>
          <w:sz w:val="22"/>
          <w:szCs w:val="22"/>
        </w:rPr>
        <w:t>lounder</w:t>
      </w:r>
      <w:r w:rsidR="00FF765E">
        <w:rPr>
          <w:rFonts w:ascii="Arial" w:hAnsi="Arial" w:cs="Arial"/>
          <w:sz w:val="22"/>
          <w:szCs w:val="22"/>
        </w:rPr>
        <w:t>:</w:t>
      </w:r>
    </w:p>
    <w:p w:rsidR="006D652B" w:rsidRPr="00B61AB8" w:rsidRDefault="006D652B" w:rsidP="006901B4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FF765E" w:rsidRPr="007965F3" w:rsidRDefault="001A302F" w:rsidP="006D652B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7965F3">
        <w:rPr>
          <w:rFonts w:ascii="Arial" w:hAnsi="Arial" w:cs="Arial"/>
          <w:sz w:val="22"/>
          <w:szCs w:val="22"/>
        </w:rPr>
        <w:t>A</w:t>
      </w:r>
      <w:r w:rsidR="00FF765E" w:rsidRPr="007965F3">
        <w:rPr>
          <w:rFonts w:ascii="Arial" w:hAnsi="Arial" w:cs="Arial"/>
          <w:sz w:val="22"/>
          <w:szCs w:val="22"/>
        </w:rPr>
        <w:t xml:space="preserve">pply </w:t>
      </w:r>
      <w:r w:rsidR="006901B4" w:rsidRPr="007965F3">
        <w:rPr>
          <w:rFonts w:ascii="Arial" w:hAnsi="Arial" w:cs="Arial"/>
          <w:sz w:val="22"/>
          <w:szCs w:val="22"/>
        </w:rPr>
        <w:t>the benchmark assessments to report on the status of the stocks, updating results for the latest information from fisheries, including discard estimates and research surveys</w:t>
      </w:r>
      <w:r w:rsidR="00FE4A1D" w:rsidRPr="007965F3">
        <w:rPr>
          <w:rFonts w:ascii="Arial" w:hAnsi="Arial" w:cs="Arial"/>
          <w:sz w:val="22"/>
          <w:szCs w:val="22"/>
        </w:rPr>
        <w:t>,</w:t>
      </w:r>
      <w:r w:rsidR="006901B4" w:rsidRPr="007965F3">
        <w:rPr>
          <w:rFonts w:ascii="Arial" w:hAnsi="Arial" w:cs="Arial"/>
          <w:sz w:val="22"/>
          <w:szCs w:val="22"/>
        </w:rPr>
        <w:t xml:space="preserve"> and characterize the uncertainty of estimates.</w:t>
      </w:r>
      <w:r w:rsidR="00FE4A1D" w:rsidRPr="007965F3">
        <w:rPr>
          <w:rFonts w:ascii="Arial" w:hAnsi="Arial" w:cs="Arial"/>
          <w:sz w:val="22"/>
          <w:szCs w:val="22"/>
        </w:rPr>
        <w:t xml:space="preserve"> </w:t>
      </w:r>
    </w:p>
    <w:p w:rsidR="00FF765E" w:rsidRPr="007965F3" w:rsidRDefault="00FF765E" w:rsidP="007965F3">
      <w:pPr>
        <w:jc w:val="both"/>
        <w:rPr>
          <w:rFonts w:ascii="Arial" w:hAnsi="Arial" w:cs="Arial"/>
          <w:sz w:val="22"/>
          <w:szCs w:val="22"/>
        </w:rPr>
      </w:pPr>
    </w:p>
    <w:p w:rsidR="006901B4" w:rsidRPr="007965F3" w:rsidRDefault="00FF765E" w:rsidP="006D652B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7965F3">
        <w:rPr>
          <w:rFonts w:ascii="Arial" w:hAnsi="Arial" w:cs="Arial"/>
          <w:sz w:val="22"/>
          <w:szCs w:val="22"/>
        </w:rPr>
        <w:t xml:space="preserve">Depending upon the outcome of the </w:t>
      </w:r>
      <w:r w:rsidR="007B4C41" w:rsidRPr="007965F3">
        <w:rPr>
          <w:rFonts w:ascii="Arial" w:hAnsi="Arial" w:cs="Arial"/>
          <w:sz w:val="22"/>
          <w:szCs w:val="22"/>
        </w:rPr>
        <w:t>GB Yellowtail F</w:t>
      </w:r>
      <w:r w:rsidRPr="007965F3">
        <w:rPr>
          <w:rFonts w:ascii="Arial" w:hAnsi="Arial" w:cs="Arial"/>
          <w:sz w:val="22"/>
          <w:szCs w:val="22"/>
        </w:rPr>
        <w:t xml:space="preserve">lounder </w:t>
      </w:r>
      <w:r w:rsidR="007B4C41" w:rsidRPr="007965F3">
        <w:rPr>
          <w:rFonts w:ascii="Arial" w:hAnsi="Arial" w:cs="Arial"/>
          <w:sz w:val="22"/>
          <w:szCs w:val="22"/>
        </w:rPr>
        <w:t xml:space="preserve">empirical approach </w:t>
      </w:r>
      <w:r w:rsidRPr="007965F3">
        <w:rPr>
          <w:rFonts w:ascii="Arial" w:hAnsi="Arial" w:cs="Arial"/>
          <w:sz w:val="22"/>
          <w:szCs w:val="22"/>
        </w:rPr>
        <w:t xml:space="preserve">benchmark, results </w:t>
      </w:r>
      <w:r w:rsidR="001A302F" w:rsidRPr="007965F3">
        <w:rPr>
          <w:rFonts w:ascii="Arial" w:hAnsi="Arial" w:cs="Arial"/>
          <w:sz w:val="22"/>
          <w:szCs w:val="22"/>
        </w:rPr>
        <w:t xml:space="preserve">from the empirical method </w:t>
      </w:r>
      <w:r w:rsidRPr="007965F3">
        <w:rPr>
          <w:rFonts w:ascii="Arial" w:hAnsi="Arial" w:cs="Arial"/>
          <w:sz w:val="22"/>
          <w:szCs w:val="22"/>
        </w:rPr>
        <w:t>will either be considered alone as a basis for catch advice or considered along with the current virtual population analysis (VPA</w:t>
      </w:r>
      <w:r w:rsidR="001A302F" w:rsidRPr="007965F3">
        <w:rPr>
          <w:rFonts w:ascii="Arial" w:hAnsi="Arial" w:cs="Arial"/>
          <w:sz w:val="22"/>
          <w:szCs w:val="22"/>
        </w:rPr>
        <w:t xml:space="preserve"> from 2005 benchmark</w:t>
      </w:r>
      <w:r w:rsidRPr="007965F3">
        <w:rPr>
          <w:rFonts w:ascii="Arial" w:hAnsi="Arial" w:cs="Arial"/>
          <w:sz w:val="22"/>
          <w:szCs w:val="22"/>
        </w:rPr>
        <w:t>) modeling results and relevant VPA sensitivity runs as have been conducted in the past.</w:t>
      </w:r>
      <w:r w:rsidR="00FE4A1D" w:rsidRPr="007965F3">
        <w:rPr>
          <w:rFonts w:ascii="Arial" w:hAnsi="Arial" w:cs="Arial"/>
          <w:sz w:val="22"/>
          <w:szCs w:val="22"/>
        </w:rPr>
        <w:t xml:space="preserve"> </w:t>
      </w:r>
    </w:p>
    <w:p w:rsidR="006901B4" w:rsidRPr="00B61AB8" w:rsidRDefault="006901B4" w:rsidP="006901B4">
      <w:pPr>
        <w:jc w:val="both"/>
        <w:rPr>
          <w:rFonts w:ascii="Arial" w:hAnsi="Arial" w:cs="Arial"/>
          <w:sz w:val="22"/>
          <w:szCs w:val="22"/>
        </w:rPr>
      </w:pPr>
    </w:p>
    <w:p w:rsidR="006901B4" w:rsidRPr="00B61AB8" w:rsidRDefault="006901B4" w:rsidP="006901B4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B61AB8">
        <w:rPr>
          <w:rFonts w:ascii="Arial" w:hAnsi="Arial" w:cs="Arial"/>
          <w:sz w:val="22"/>
          <w:szCs w:val="22"/>
        </w:rPr>
        <w:t xml:space="preserve">Describe any adjustments to benchmark assessment models applied during the </w:t>
      </w:r>
      <w:smartTag w:uri="urn:schemas-microsoft-com:office:smarttags" w:element="stockticker">
        <w:r w:rsidRPr="00B61AB8">
          <w:rPr>
            <w:rFonts w:ascii="Arial" w:hAnsi="Arial" w:cs="Arial"/>
            <w:sz w:val="22"/>
            <w:szCs w:val="22"/>
          </w:rPr>
          <w:t>TRAC</w:t>
        </w:r>
      </w:smartTag>
      <w:r w:rsidRPr="00B61AB8">
        <w:rPr>
          <w:rFonts w:ascii="Arial" w:hAnsi="Arial" w:cs="Arial"/>
          <w:sz w:val="22"/>
          <w:szCs w:val="22"/>
        </w:rPr>
        <w:t xml:space="preserve"> including impacts on advice given to TMGC.</w:t>
      </w:r>
    </w:p>
    <w:p w:rsidR="006901B4" w:rsidRPr="00B61AB8" w:rsidRDefault="006901B4" w:rsidP="006901B4">
      <w:pPr>
        <w:jc w:val="both"/>
        <w:rPr>
          <w:rFonts w:ascii="Arial" w:hAnsi="Arial" w:cs="Arial"/>
          <w:sz w:val="22"/>
          <w:szCs w:val="22"/>
        </w:rPr>
      </w:pPr>
    </w:p>
    <w:p w:rsidR="006901B4" w:rsidRDefault="006901B4" w:rsidP="006901B4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B61AB8">
        <w:rPr>
          <w:rFonts w:ascii="Arial" w:hAnsi="Arial" w:cs="Arial"/>
          <w:sz w:val="22"/>
          <w:szCs w:val="22"/>
        </w:rPr>
        <w:t>Evaluate and quantify, if possible, scientific uncertainty of the assessment output (stock status determination and catch projection), discussing current practices of characterization and alternative methods of evaluation. </w:t>
      </w:r>
    </w:p>
    <w:p w:rsidR="00194138" w:rsidRDefault="00194138" w:rsidP="00194138">
      <w:pPr>
        <w:pStyle w:val="ListParagraph"/>
        <w:rPr>
          <w:rFonts w:ascii="Arial" w:hAnsi="Arial" w:cs="Arial"/>
          <w:sz w:val="22"/>
          <w:szCs w:val="22"/>
        </w:rPr>
      </w:pPr>
    </w:p>
    <w:p w:rsidR="00194138" w:rsidRPr="009F0F78" w:rsidRDefault="004758CE" w:rsidP="00194138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9F0F78">
        <w:rPr>
          <w:rFonts w:ascii="Arial" w:hAnsi="Arial" w:cs="Arial"/>
          <w:sz w:val="22"/>
          <w:szCs w:val="22"/>
        </w:rPr>
        <w:t>P</w:t>
      </w:r>
      <w:r w:rsidR="00194138" w:rsidRPr="009F0F78">
        <w:rPr>
          <w:rFonts w:ascii="Arial" w:hAnsi="Arial" w:cs="Arial"/>
          <w:sz w:val="22"/>
          <w:szCs w:val="22"/>
        </w:rPr>
        <w:t xml:space="preserve">rovide sensitivity analyses </w:t>
      </w:r>
      <w:r w:rsidRPr="009F0F78">
        <w:rPr>
          <w:rFonts w:ascii="Arial" w:hAnsi="Arial" w:cs="Arial"/>
          <w:sz w:val="22"/>
          <w:szCs w:val="22"/>
        </w:rPr>
        <w:t xml:space="preserve">to account for retrospective bias </w:t>
      </w:r>
      <w:r w:rsidR="00194138" w:rsidRPr="009F0F78">
        <w:rPr>
          <w:rFonts w:ascii="Arial" w:hAnsi="Arial" w:cs="Arial"/>
          <w:sz w:val="22"/>
          <w:szCs w:val="22"/>
        </w:rPr>
        <w:t xml:space="preserve">on stock biomass and fishing mortality estimates for </w:t>
      </w:r>
      <w:r w:rsidR="007B4C41">
        <w:rPr>
          <w:rFonts w:ascii="Arial" w:hAnsi="Arial" w:cs="Arial"/>
          <w:sz w:val="22"/>
          <w:szCs w:val="22"/>
        </w:rPr>
        <w:t>C</w:t>
      </w:r>
      <w:r w:rsidR="00194138" w:rsidRPr="009F0F78">
        <w:rPr>
          <w:rFonts w:ascii="Arial" w:hAnsi="Arial" w:cs="Arial"/>
          <w:sz w:val="22"/>
          <w:szCs w:val="22"/>
        </w:rPr>
        <w:t xml:space="preserve">od, </w:t>
      </w:r>
      <w:r w:rsidR="007B4C41">
        <w:rPr>
          <w:rFonts w:ascii="Arial" w:hAnsi="Arial" w:cs="Arial"/>
          <w:sz w:val="22"/>
          <w:szCs w:val="22"/>
        </w:rPr>
        <w:t>H</w:t>
      </w:r>
      <w:r w:rsidR="00194138" w:rsidRPr="009F0F78">
        <w:rPr>
          <w:rFonts w:ascii="Arial" w:hAnsi="Arial" w:cs="Arial"/>
          <w:sz w:val="22"/>
          <w:szCs w:val="22"/>
        </w:rPr>
        <w:t xml:space="preserve">addock, and </w:t>
      </w:r>
      <w:r w:rsidR="007B4C41">
        <w:rPr>
          <w:rFonts w:ascii="Arial" w:hAnsi="Arial" w:cs="Arial"/>
          <w:sz w:val="22"/>
          <w:szCs w:val="22"/>
        </w:rPr>
        <w:t>Y</w:t>
      </w:r>
      <w:r w:rsidR="00194138" w:rsidRPr="009F0F78">
        <w:rPr>
          <w:rFonts w:ascii="Arial" w:hAnsi="Arial" w:cs="Arial"/>
          <w:sz w:val="22"/>
          <w:szCs w:val="22"/>
        </w:rPr>
        <w:t xml:space="preserve">ellowtail </w:t>
      </w:r>
      <w:r w:rsidR="007B4C41">
        <w:rPr>
          <w:rFonts w:ascii="Arial" w:hAnsi="Arial" w:cs="Arial"/>
          <w:sz w:val="22"/>
          <w:szCs w:val="22"/>
        </w:rPr>
        <w:t>F</w:t>
      </w:r>
      <w:r w:rsidR="00194138" w:rsidRPr="009F0F78">
        <w:rPr>
          <w:rFonts w:ascii="Arial" w:hAnsi="Arial" w:cs="Arial"/>
          <w:sz w:val="22"/>
          <w:szCs w:val="22"/>
        </w:rPr>
        <w:t>lounder</w:t>
      </w:r>
      <w:r w:rsidR="000D7A3E">
        <w:rPr>
          <w:rFonts w:ascii="Arial" w:hAnsi="Arial" w:cs="Arial"/>
          <w:sz w:val="22"/>
          <w:szCs w:val="22"/>
        </w:rPr>
        <w:t>,</w:t>
      </w:r>
      <w:r w:rsidR="00F23143">
        <w:rPr>
          <w:rFonts w:ascii="Arial" w:hAnsi="Arial" w:cs="Arial"/>
          <w:sz w:val="22"/>
          <w:szCs w:val="22"/>
        </w:rPr>
        <w:t xml:space="preserve"> if appropriate</w:t>
      </w:r>
      <w:r w:rsidR="00194138" w:rsidRPr="009F0F78">
        <w:rPr>
          <w:rFonts w:ascii="Arial" w:hAnsi="Arial" w:cs="Arial"/>
          <w:sz w:val="22"/>
          <w:szCs w:val="22"/>
        </w:rPr>
        <w:t xml:space="preserve">. </w:t>
      </w:r>
    </w:p>
    <w:p w:rsidR="006901B4" w:rsidRPr="00B61AB8" w:rsidRDefault="006901B4" w:rsidP="006901B4">
      <w:pPr>
        <w:jc w:val="both"/>
        <w:rPr>
          <w:rFonts w:ascii="Arial" w:hAnsi="Arial" w:cs="Arial"/>
          <w:sz w:val="22"/>
          <w:szCs w:val="22"/>
        </w:rPr>
      </w:pPr>
    </w:p>
    <w:p w:rsidR="008C2523" w:rsidRDefault="006901B4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n-CA"/>
        </w:rPr>
      </w:pPr>
      <w:r w:rsidRPr="00B61AB8">
        <w:rPr>
          <w:rFonts w:ascii="Arial" w:hAnsi="Arial" w:cs="Arial"/>
          <w:sz w:val="22"/>
          <w:szCs w:val="22"/>
          <w:lang w:val="en-CA"/>
        </w:rPr>
        <w:t>For a range of total catch values in 201</w:t>
      </w:r>
      <w:r w:rsidR="00C36BFC">
        <w:rPr>
          <w:rFonts w:ascii="Arial" w:hAnsi="Arial" w:cs="Arial"/>
          <w:sz w:val="22"/>
          <w:szCs w:val="22"/>
          <w:lang w:val="en-CA"/>
        </w:rPr>
        <w:t>5</w:t>
      </w:r>
      <w:r w:rsidRPr="00B61AB8">
        <w:rPr>
          <w:rFonts w:ascii="Arial" w:hAnsi="Arial" w:cs="Arial"/>
          <w:sz w:val="22"/>
          <w:szCs w:val="22"/>
          <w:lang w:val="en-CA"/>
        </w:rPr>
        <w:t>, estimate the risk that the 201</w:t>
      </w:r>
      <w:r w:rsidR="00C36BFC">
        <w:rPr>
          <w:rFonts w:ascii="Arial" w:hAnsi="Arial" w:cs="Arial"/>
          <w:sz w:val="22"/>
          <w:szCs w:val="22"/>
          <w:lang w:val="en-CA"/>
        </w:rPr>
        <w:t>5</w:t>
      </w:r>
      <w:r w:rsidRPr="00B61AB8">
        <w:rPr>
          <w:rFonts w:ascii="Arial" w:hAnsi="Arial" w:cs="Arial"/>
          <w:sz w:val="22"/>
          <w:szCs w:val="22"/>
          <w:lang w:val="en-CA"/>
        </w:rPr>
        <w:t xml:space="preserve"> fishing mortality rate would exceed </w:t>
      </w:r>
      <w:r w:rsidR="00F23143">
        <w:rPr>
          <w:rFonts w:ascii="Arial" w:hAnsi="Arial" w:cs="Arial"/>
          <w:sz w:val="22"/>
          <w:szCs w:val="22"/>
          <w:lang w:val="en-CA"/>
        </w:rPr>
        <w:t>F</w:t>
      </w:r>
      <w:r w:rsidR="00F23143" w:rsidRPr="000D7A3E">
        <w:rPr>
          <w:rFonts w:ascii="Arial" w:hAnsi="Arial" w:cs="Arial"/>
          <w:sz w:val="22"/>
          <w:szCs w:val="22"/>
          <w:vertAlign w:val="subscript"/>
          <w:lang w:val="en-CA"/>
        </w:rPr>
        <w:t xml:space="preserve">ref </w:t>
      </w:r>
      <w:r w:rsidR="00F23143">
        <w:rPr>
          <w:rFonts w:ascii="Arial" w:hAnsi="Arial" w:cs="Arial"/>
          <w:sz w:val="22"/>
          <w:szCs w:val="22"/>
          <w:lang w:val="en-CA"/>
        </w:rPr>
        <w:t xml:space="preserve">values, i.e. </w:t>
      </w:r>
      <w:r w:rsidRPr="00B61AB8">
        <w:rPr>
          <w:rFonts w:ascii="Arial" w:hAnsi="Arial" w:cs="Arial"/>
          <w:sz w:val="22"/>
          <w:szCs w:val="22"/>
          <w:lang w:val="en-CA"/>
        </w:rPr>
        <w:t>0.18 (</w:t>
      </w:r>
      <w:r w:rsidR="007B4C41">
        <w:rPr>
          <w:rFonts w:ascii="Arial" w:hAnsi="Arial" w:cs="Arial"/>
          <w:sz w:val="22"/>
          <w:szCs w:val="22"/>
          <w:lang w:val="en-CA"/>
        </w:rPr>
        <w:t>C</w:t>
      </w:r>
      <w:r w:rsidRPr="00B61AB8">
        <w:rPr>
          <w:rFonts w:ascii="Arial" w:hAnsi="Arial" w:cs="Arial"/>
          <w:sz w:val="22"/>
          <w:szCs w:val="22"/>
          <w:lang w:val="en-CA"/>
        </w:rPr>
        <w:t>od), 0.26 (</w:t>
      </w:r>
      <w:r w:rsidR="007B4C41">
        <w:rPr>
          <w:rFonts w:ascii="Arial" w:hAnsi="Arial" w:cs="Arial"/>
          <w:sz w:val="22"/>
          <w:szCs w:val="22"/>
          <w:lang w:val="en-CA"/>
        </w:rPr>
        <w:t>H</w:t>
      </w:r>
      <w:r w:rsidRPr="00B61AB8">
        <w:rPr>
          <w:rFonts w:ascii="Arial" w:hAnsi="Arial" w:cs="Arial"/>
          <w:sz w:val="22"/>
          <w:szCs w:val="22"/>
          <w:lang w:val="en-CA"/>
        </w:rPr>
        <w:t>addock) and 0.25 (</w:t>
      </w:r>
      <w:r w:rsidR="007B4C41">
        <w:rPr>
          <w:rFonts w:ascii="Arial" w:hAnsi="Arial" w:cs="Arial"/>
          <w:sz w:val="22"/>
          <w:szCs w:val="22"/>
          <w:lang w:val="en-CA"/>
        </w:rPr>
        <w:t>Y</w:t>
      </w:r>
      <w:r w:rsidRPr="00B61AB8">
        <w:rPr>
          <w:rFonts w:ascii="Arial" w:hAnsi="Arial" w:cs="Arial"/>
          <w:sz w:val="22"/>
          <w:szCs w:val="22"/>
          <w:lang w:val="en-CA"/>
        </w:rPr>
        <w:t xml:space="preserve">ellowtail </w:t>
      </w:r>
      <w:r w:rsidR="007B4C41">
        <w:rPr>
          <w:rFonts w:ascii="Arial" w:hAnsi="Arial" w:cs="Arial"/>
          <w:sz w:val="22"/>
          <w:szCs w:val="22"/>
          <w:lang w:val="en-CA"/>
        </w:rPr>
        <w:t>F</w:t>
      </w:r>
      <w:r w:rsidRPr="00B61AB8">
        <w:rPr>
          <w:rFonts w:ascii="Arial" w:hAnsi="Arial" w:cs="Arial"/>
          <w:sz w:val="22"/>
          <w:szCs w:val="22"/>
          <w:lang w:val="en-CA"/>
        </w:rPr>
        <w:t>lounder) respectively. Include a table showing the 201</w:t>
      </w:r>
      <w:r w:rsidR="00C36BFC">
        <w:rPr>
          <w:rFonts w:ascii="Arial" w:hAnsi="Arial" w:cs="Arial"/>
          <w:sz w:val="22"/>
          <w:szCs w:val="22"/>
          <w:lang w:val="en-CA"/>
        </w:rPr>
        <w:t xml:space="preserve">5 </w:t>
      </w:r>
      <w:r w:rsidRPr="00B61AB8">
        <w:rPr>
          <w:rFonts w:ascii="Arial" w:hAnsi="Arial" w:cs="Arial"/>
          <w:sz w:val="22"/>
          <w:szCs w:val="22"/>
          <w:lang w:val="en-CA"/>
        </w:rPr>
        <w:t>catches corresponding to low (25%), neutral (50%) and high (75%) probability that the F would exceed</w:t>
      </w:r>
      <w:r w:rsidR="00F23143">
        <w:rPr>
          <w:rFonts w:ascii="Arial" w:hAnsi="Arial" w:cs="Arial"/>
          <w:sz w:val="22"/>
          <w:szCs w:val="22"/>
          <w:lang w:val="en-CA"/>
        </w:rPr>
        <w:t xml:space="preserve"> F</w:t>
      </w:r>
      <w:r w:rsidR="00F23143" w:rsidRPr="000D7A3E">
        <w:rPr>
          <w:rFonts w:ascii="Arial" w:hAnsi="Arial" w:cs="Arial"/>
          <w:sz w:val="22"/>
          <w:szCs w:val="22"/>
          <w:vertAlign w:val="subscript"/>
          <w:lang w:val="en-CA"/>
        </w:rPr>
        <w:t>ref</w:t>
      </w:r>
      <w:r w:rsidR="000D7A3E">
        <w:rPr>
          <w:rFonts w:ascii="Arial" w:hAnsi="Arial" w:cs="Arial"/>
          <w:sz w:val="22"/>
          <w:szCs w:val="22"/>
          <w:lang w:val="en-CA"/>
        </w:rPr>
        <w:t>.</w:t>
      </w:r>
      <w:r w:rsidR="00F23143">
        <w:rPr>
          <w:rFonts w:ascii="Arial" w:hAnsi="Arial" w:cs="Arial"/>
          <w:sz w:val="22"/>
          <w:szCs w:val="22"/>
          <w:lang w:val="en-CA"/>
        </w:rPr>
        <w:t xml:space="preserve"> </w:t>
      </w:r>
    </w:p>
    <w:p w:rsidR="000D7A3E" w:rsidRDefault="000D7A3E" w:rsidP="00A07C8D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sz w:val="22"/>
          <w:szCs w:val="22"/>
          <w:lang w:val="en-CA"/>
        </w:rPr>
      </w:pPr>
    </w:p>
    <w:p w:rsidR="006901B4" w:rsidRPr="00F23143" w:rsidRDefault="008024BD" w:rsidP="006901B4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  <w:lang w:val="en-CA"/>
        </w:rPr>
      </w:pPr>
      <w:r w:rsidRPr="008024BD">
        <w:rPr>
          <w:rFonts w:ascii="Arial" w:hAnsi="Arial" w:cs="Arial"/>
          <w:sz w:val="22"/>
          <w:szCs w:val="22"/>
          <w:lang w:val="en-CA"/>
        </w:rPr>
        <w:t>For a range of total catch values in 201</w:t>
      </w:r>
      <w:r w:rsidR="00C36BFC">
        <w:rPr>
          <w:rFonts w:ascii="Arial" w:hAnsi="Arial" w:cs="Arial"/>
          <w:sz w:val="22"/>
          <w:szCs w:val="22"/>
          <w:lang w:val="en-CA"/>
        </w:rPr>
        <w:t>5</w:t>
      </w:r>
      <w:r w:rsidRPr="008024BD">
        <w:rPr>
          <w:rFonts w:ascii="Arial" w:hAnsi="Arial" w:cs="Arial"/>
          <w:sz w:val="22"/>
          <w:szCs w:val="22"/>
          <w:lang w:val="en-CA"/>
        </w:rPr>
        <w:t>, estimate the risk that the biomass at the beginning of 201</w:t>
      </w:r>
      <w:r w:rsidR="00C36BFC">
        <w:rPr>
          <w:rFonts w:ascii="Arial" w:hAnsi="Arial" w:cs="Arial"/>
          <w:sz w:val="22"/>
          <w:szCs w:val="22"/>
          <w:lang w:val="en-CA"/>
        </w:rPr>
        <w:t>6</w:t>
      </w:r>
      <w:r w:rsidRPr="008024BD">
        <w:rPr>
          <w:rFonts w:ascii="Arial" w:hAnsi="Arial" w:cs="Arial"/>
          <w:sz w:val="22"/>
          <w:szCs w:val="22"/>
          <w:lang w:val="en-CA"/>
        </w:rPr>
        <w:t xml:space="preserve"> would not achieve a 0%, 10% or 20% increase compared to the beginning of 201</w:t>
      </w:r>
      <w:r w:rsidR="00C36BFC">
        <w:rPr>
          <w:rFonts w:ascii="Arial" w:hAnsi="Arial" w:cs="Arial"/>
          <w:sz w:val="22"/>
          <w:szCs w:val="22"/>
          <w:lang w:val="en-CA"/>
        </w:rPr>
        <w:t>5</w:t>
      </w:r>
      <w:r w:rsidRPr="008024BD">
        <w:rPr>
          <w:rFonts w:ascii="Arial" w:hAnsi="Arial" w:cs="Arial"/>
          <w:sz w:val="22"/>
          <w:szCs w:val="22"/>
          <w:lang w:val="en-CA"/>
        </w:rPr>
        <w:t>.</w:t>
      </w:r>
    </w:p>
    <w:p w:rsidR="006901B4" w:rsidRPr="00F23143" w:rsidRDefault="006901B4" w:rsidP="006901B4">
      <w:pPr>
        <w:jc w:val="both"/>
        <w:rPr>
          <w:rFonts w:ascii="Arial" w:hAnsi="Arial" w:cs="Arial"/>
          <w:sz w:val="22"/>
          <w:szCs w:val="22"/>
          <w:lang w:val="en-CA"/>
        </w:rPr>
      </w:pPr>
    </w:p>
    <w:p w:rsidR="006901B4" w:rsidRDefault="008024BD" w:rsidP="006901B4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8024BD">
        <w:rPr>
          <w:rFonts w:ascii="Arial" w:hAnsi="Arial" w:cs="Arial"/>
          <w:sz w:val="22"/>
          <w:szCs w:val="22"/>
          <w:lang w:val="en-CA"/>
        </w:rPr>
        <w:t xml:space="preserve">Review the biomass distribution relative to the U.S./Canada boundary, updating results with the </w:t>
      </w:r>
      <w:r w:rsidR="003F7CFF" w:rsidRPr="003F7CFF">
        <w:rPr>
          <w:rFonts w:ascii="Arial" w:hAnsi="Arial" w:cs="Arial"/>
          <w:sz w:val="22"/>
          <w:szCs w:val="22"/>
          <w:lang w:val="en-CA"/>
        </w:rPr>
        <w:t>2013</w:t>
      </w:r>
      <w:r w:rsidR="00F25788">
        <w:rPr>
          <w:rFonts w:ascii="Arial" w:hAnsi="Arial" w:cs="Arial"/>
          <w:i/>
          <w:sz w:val="22"/>
          <w:szCs w:val="22"/>
          <w:lang w:val="en-CA"/>
        </w:rPr>
        <w:t xml:space="preserve"> </w:t>
      </w:r>
      <w:r w:rsidRPr="008024BD">
        <w:rPr>
          <w:rFonts w:ascii="Arial" w:hAnsi="Arial" w:cs="Arial"/>
          <w:sz w:val="22"/>
          <w:szCs w:val="22"/>
          <w:lang w:val="en-CA"/>
        </w:rPr>
        <w:t>survey information, and apply the allocation shares form</w:t>
      </w:r>
      <w:proofErr w:type="spellStart"/>
      <w:r w:rsidR="006901B4" w:rsidRPr="00B61AB8">
        <w:rPr>
          <w:rFonts w:ascii="Arial" w:hAnsi="Arial" w:cs="Arial"/>
          <w:sz w:val="22"/>
          <w:szCs w:val="22"/>
        </w:rPr>
        <w:t>ula</w:t>
      </w:r>
      <w:proofErr w:type="spellEnd"/>
      <w:r w:rsidR="006901B4" w:rsidRPr="00B61AB8">
        <w:rPr>
          <w:rFonts w:ascii="Arial" w:hAnsi="Arial" w:cs="Arial"/>
          <w:sz w:val="22"/>
          <w:szCs w:val="22"/>
        </w:rPr>
        <w:t>.</w:t>
      </w:r>
    </w:p>
    <w:p w:rsidR="00D86209" w:rsidRDefault="00D86209" w:rsidP="00D86209">
      <w:pPr>
        <w:pStyle w:val="ListParagraph"/>
        <w:rPr>
          <w:rFonts w:ascii="Arial" w:hAnsi="Arial" w:cs="Arial"/>
          <w:sz w:val="22"/>
          <w:szCs w:val="22"/>
        </w:rPr>
      </w:pPr>
    </w:p>
    <w:p w:rsidR="00D86209" w:rsidRDefault="00025815" w:rsidP="00D86209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D86209">
        <w:rPr>
          <w:rFonts w:ascii="Arial" w:hAnsi="Arial" w:cs="Arial"/>
          <w:sz w:val="22"/>
          <w:szCs w:val="22"/>
        </w:rPr>
        <w:t xml:space="preserve">Identify alternate fishing reference points that are appropriate for the </w:t>
      </w:r>
      <w:r w:rsidR="007B4C41">
        <w:rPr>
          <w:rFonts w:ascii="Arial" w:hAnsi="Arial" w:cs="Arial"/>
          <w:sz w:val="22"/>
          <w:szCs w:val="22"/>
        </w:rPr>
        <w:t>C</w:t>
      </w:r>
      <w:r w:rsidRPr="00D86209">
        <w:rPr>
          <w:rFonts w:ascii="Arial" w:hAnsi="Arial" w:cs="Arial"/>
          <w:sz w:val="22"/>
          <w:szCs w:val="22"/>
        </w:rPr>
        <w:t>od VPA M=0.8 model.</w:t>
      </w:r>
    </w:p>
    <w:p w:rsidR="00D86209" w:rsidRDefault="00D86209" w:rsidP="00D86209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FF765E" w:rsidRPr="007965F3" w:rsidRDefault="007B4C41" w:rsidP="007965F3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7965F3">
        <w:rPr>
          <w:rFonts w:ascii="Arial" w:hAnsi="Arial" w:cs="Arial"/>
          <w:sz w:val="22"/>
          <w:szCs w:val="22"/>
        </w:rPr>
        <w:lastRenderedPageBreak/>
        <w:t>For Yellowtail F</w:t>
      </w:r>
      <w:r w:rsidR="00FF765E" w:rsidRPr="007965F3">
        <w:rPr>
          <w:rFonts w:ascii="Arial" w:hAnsi="Arial" w:cs="Arial"/>
          <w:sz w:val="22"/>
          <w:szCs w:val="22"/>
        </w:rPr>
        <w:t xml:space="preserve">lounder, </w:t>
      </w:r>
      <w:r w:rsidRPr="007965F3">
        <w:rPr>
          <w:rFonts w:ascii="Arial" w:hAnsi="Arial" w:cs="Arial"/>
          <w:sz w:val="22"/>
          <w:szCs w:val="22"/>
        </w:rPr>
        <w:t>if recommended by the GB Yellowtail Flounder empirical approach benchmark, provide</w:t>
      </w:r>
      <w:r w:rsidR="00FF765E" w:rsidRPr="007965F3">
        <w:rPr>
          <w:rFonts w:ascii="Arial" w:hAnsi="Arial" w:cs="Arial"/>
          <w:sz w:val="22"/>
          <w:szCs w:val="22"/>
        </w:rPr>
        <w:t xml:space="preserve"> catch advice consistent with newly defined fishing mortality reference points developed for an empirical approach (noting that any change in </w:t>
      </w:r>
      <w:proofErr w:type="spellStart"/>
      <w:r w:rsidR="00FF765E" w:rsidRPr="007965F3">
        <w:rPr>
          <w:rFonts w:ascii="Arial" w:hAnsi="Arial" w:cs="Arial"/>
          <w:sz w:val="22"/>
          <w:szCs w:val="22"/>
        </w:rPr>
        <w:t>F</w:t>
      </w:r>
      <w:r w:rsidR="00FF765E" w:rsidRPr="007965F3">
        <w:rPr>
          <w:rFonts w:ascii="Arial" w:hAnsi="Arial" w:cs="Arial"/>
          <w:sz w:val="22"/>
          <w:szCs w:val="22"/>
          <w:vertAlign w:val="subscript"/>
        </w:rPr>
        <w:t>ref</w:t>
      </w:r>
      <w:proofErr w:type="spellEnd"/>
      <w:r w:rsidR="00FF765E" w:rsidRPr="007965F3">
        <w:rPr>
          <w:rFonts w:ascii="Arial" w:hAnsi="Arial" w:cs="Arial"/>
          <w:sz w:val="22"/>
          <w:szCs w:val="22"/>
        </w:rPr>
        <w:t xml:space="preserve"> used to provide catch advice would need to be negotiated)</w:t>
      </w:r>
      <w:r w:rsidR="00B31B17" w:rsidRPr="007965F3">
        <w:rPr>
          <w:rFonts w:ascii="Arial" w:hAnsi="Arial" w:cs="Arial"/>
          <w:sz w:val="22"/>
          <w:szCs w:val="22"/>
        </w:rPr>
        <w:t xml:space="preserve"> and synthesize all the available information used to provide recommendations on catch advice.</w:t>
      </w:r>
    </w:p>
    <w:p w:rsidR="007B653F" w:rsidRDefault="007B653F" w:rsidP="006F2CDA">
      <w:pPr>
        <w:jc w:val="both"/>
        <w:rPr>
          <w:rFonts w:ascii="Arial" w:hAnsi="Arial" w:cs="Arial"/>
          <w:sz w:val="22"/>
          <w:szCs w:val="22"/>
        </w:rPr>
      </w:pPr>
    </w:p>
    <w:p w:rsidR="007B653F" w:rsidRDefault="007B653F" w:rsidP="007B653F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B61AB8">
        <w:rPr>
          <w:rFonts w:ascii="Arial" w:hAnsi="Arial" w:cs="Arial"/>
          <w:sz w:val="22"/>
          <w:szCs w:val="22"/>
        </w:rPr>
        <w:t>Draft terms of reference for the 201</w:t>
      </w:r>
      <w:r>
        <w:rPr>
          <w:rFonts w:ascii="Arial" w:hAnsi="Arial" w:cs="Arial"/>
          <w:sz w:val="22"/>
          <w:szCs w:val="22"/>
        </w:rPr>
        <w:t>5</w:t>
      </w:r>
      <w:r w:rsidRPr="00B61AB8">
        <w:rPr>
          <w:rFonts w:ascii="Arial" w:hAnsi="Arial" w:cs="Arial"/>
          <w:sz w:val="22"/>
          <w:szCs w:val="22"/>
        </w:rPr>
        <w:t xml:space="preserve"> TRAC assessment of cod, haddock and yellowtail. </w:t>
      </w:r>
    </w:p>
    <w:p w:rsidR="00B10678" w:rsidRDefault="00B10678" w:rsidP="004A4BCE">
      <w:pPr>
        <w:pStyle w:val="ListParagraph"/>
        <w:rPr>
          <w:rFonts w:ascii="Arial" w:hAnsi="Arial" w:cs="Arial"/>
          <w:sz w:val="22"/>
          <w:szCs w:val="22"/>
        </w:rPr>
      </w:pPr>
    </w:p>
    <w:p w:rsidR="006901B4" w:rsidRDefault="006901B4" w:rsidP="006901B4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B61AB8">
        <w:rPr>
          <w:rFonts w:ascii="Arial" w:hAnsi="Arial" w:cs="Arial"/>
          <w:sz w:val="22"/>
          <w:szCs w:val="22"/>
        </w:rPr>
        <w:t>Other matters.</w:t>
      </w:r>
    </w:p>
    <w:p w:rsidR="00F32F4E" w:rsidRDefault="00F32F4E" w:rsidP="00F32F4E">
      <w:pPr>
        <w:pStyle w:val="ListParagraph"/>
        <w:rPr>
          <w:rFonts w:ascii="Arial" w:hAnsi="Arial" w:cs="Arial"/>
          <w:sz w:val="22"/>
          <w:szCs w:val="22"/>
        </w:rPr>
      </w:pPr>
    </w:p>
    <w:p w:rsidR="00F32F4E" w:rsidRPr="00B61AB8" w:rsidRDefault="00F32F4E" w:rsidP="00F32F4E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6901B4" w:rsidRPr="00B61AB8" w:rsidRDefault="006901B4" w:rsidP="006901B4">
      <w:pPr>
        <w:jc w:val="both"/>
        <w:rPr>
          <w:rFonts w:ascii="Arial" w:hAnsi="Arial" w:cs="Arial"/>
          <w:b/>
          <w:sz w:val="22"/>
          <w:szCs w:val="22"/>
        </w:rPr>
      </w:pPr>
      <w:r w:rsidRPr="00B61AB8">
        <w:rPr>
          <w:rFonts w:ascii="Arial" w:hAnsi="Arial" w:cs="Arial"/>
          <w:b/>
          <w:sz w:val="22"/>
          <w:szCs w:val="22"/>
        </w:rPr>
        <w:t>Expected Publications</w:t>
      </w:r>
    </w:p>
    <w:p w:rsidR="006901B4" w:rsidRPr="00B61AB8" w:rsidRDefault="006901B4" w:rsidP="006901B4">
      <w:pPr>
        <w:jc w:val="both"/>
        <w:rPr>
          <w:rFonts w:ascii="Arial" w:hAnsi="Arial" w:cs="Arial"/>
          <w:sz w:val="22"/>
          <w:szCs w:val="22"/>
        </w:rPr>
      </w:pPr>
      <w:r w:rsidRPr="00B61AB8">
        <w:rPr>
          <w:rFonts w:ascii="Arial" w:hAnsi="Arial" w:cs="Arial"/>
          <w:sz w:val="22"/>
          <w:szCs w:val="22"/>
        </w:rPr>
        <w:t xml:space="preserve"> </w:t>
      </w:r>
    </w:p>
    <w:p w:rsidR="006901B4" w:rsidRPr="00B61AB8" w:rsidRDefault="006901B4" w:rsidP="006901B4">
      <w:pPr>
        <w:jc w:val="both"/>
        <w:rPr>
          <w:rFonts w:ascii="Arial" w:hAnsi="Arial" w:cs="Arial"/>
          <w:sz w:val="22"/>
          <w:szCs w:val="22"/>
        </w:rPr>
      </w:pPr>
      <w:smartTag w:uri="urn:schemas-microsoft-com:office:smarttags" w:element="stockticker">
        <w:r w:rsidRPr="00B61AB8">
          <w:rPr>
            <w:rFonts w:ascii="Arial" w:hAnsi="Arial" w:cs="Arial"/>
            <w:sz w:val="22"/>
            <w:szCs w:val="22"/>
          </w:rPr>
          <w:t>TRAC</w:t>
        </w:r>
      </w:smartTag>
      <w:r w:rsidRPr="00B61AB8">
        <w:rPr>
          <w:rFonts w:ascii="Arial" w:hAnsi="Arial" w:cs="Arial"/>
          <w:sz w:val="22"/>
          <w:szCs w:val="22"/>
        </w:rPr>
        <w:t xml:space="preserve"> Transboundary Status Re</w:t>
      </w:r>
      <w:r w:rsidR="00225C1C">
        <w:rPr>
          <w:rFonts w:ascii="Arial" w:hAnsi="Arial" w:cs="Arial"/>
          <w:sz w:val="22"/>
          <w:szCs w:val="22"/>
        </w:rPr>
        <w:t>ports the eastern Georges Bank Cod and Haddock, and Georges Bank Y</w:t>
      </w:r>
      <w:r w:rsidRPr="00B61AB8">
        <w:rPr>
          <w:rFonts w:ascii="Arial" w:hAnsi="Arial" w:cs="Arial"/>
          <w:sz w:val="22"/>
          <w:szCs w:val="22"/>
        </w:rPr>
        <w:t xml:space="preserve">ellowtail </w:t>
      </w:r>
      <w:r w:rsidR="00225C1C">
        <w:rPr>
          <w:rFonts w:ascii="Arial" w:hAnsi="Arial" w:cs="Arial"/>
          <w:sz w:val="22"/>
          <w:szCs w:val="22"/>
        </w:rPr>
        <w:t>F</w:t>
      </w:r>
      <w:r w:rsidRPr="00B61AB8">
        <w:rPr>
          <w:rFonts w:ascii="Arial" w:hAnsi="Arial" w:cs="Arial"/>
          <w:sz w:val="22"/>
          <w:szCs w:val="22"/>
        </w:rPr>
        <w:t>lounder management units</w:t>
      </w:r>
    </w:p>
    <w:p w:rsidR="006901B4" w:rsidRPr="00B61AB8" w:rsidRDefault="006901B4" w:rsidP="006901B4">
      <w:pPr>
        <w:jc w:val="both"/>
        <w:rPr>
          <w:rFonts w:ascii="Arial" w:hAnsi="Arial" w:cs="Arial"/>
          <w:sz w:val="22"/>
          <w:szCs w:val="22"/>
        </w:rPr>
      </w:pPr>
      <w:smartTag w:uri="urn:schemas-microsoft-com:office:smarttags" w:element="stockticker">
        <w:r w:rsidRPr="00B61AB8">
          <w:rPr>
            <w:rFonts w:ascii="Arial" w:hAnsi="Arial" w:cs="Arial"/>
            <w:sz w:val="22"/>
            <w:szCs w:val="22"/>
          </w:rPr>
          <w:t>TRAC</w:t>
        </w:r>
      </w:smartTag>
      <w:r w:rsidRPr="00B61AB8">
        <w:rPr>
          <w:rFonts w:ascii="Arial" w:hAnsi="Arial" w:cs="Arial"/>
          <w:sz w:val="22"/>
          <w:szCs w:val="22"/>
        </w:rPr>
        <w:t xml:space="preserve"> Reference Docu</w:t>
      </w:r>
      <w:r w:rsidR="00225C1C">
        <w:rPr>
          <w:rFonts w:ascii="Arial" w:hAnsi="Arial" w:cs="Arial"/>
          <w:sz w:val="22"/>
          <w:szCs w:val="22"/>
        </w:rPr>
        <w:t>ments for eastern Georges Bank Cod and Haddock, Georges Bank Yellowtail F</w:t>
      </w:r>
      <w:r w:rsidRPr="00B61AB8">
        <w:rPr>
          <w:rFonts w:ascii="Arial" w:hAnsi="Arial" w:cs="Arial"/>
          <w:sz w:val="22"/>
          <w:szCs w:val="22"/>
        </w:rPr>
        <w:t>lounder management units</w:t>
      </w:r>
      <w:r w:rsidR="00C36BFC">
        <w:rPr>
          <w:rFonts w:ascii="Arial" w:hAnsi="Arial" w:cs="Arial"/>
          <w:sz w:val="22"/>
          <w:szCs w:val="22"/>
        </w:rPr>
        <w:t>, and the allocation shares</w:t>
      </w:r>
    </w:p>
    <w:p w:rsidR="006901B4" w:rsidRDefault="006901B4" w:rsidP="006901B4">
      <w:pPr>
        <w:jc w:val="both"/>
        <w:rPr>
          <w:rFonts w:ascii="Arial" w:hAnsi="Arial" w:cs="Arial"/>
          <w:sz w:val="22"/>
          <w:szCs w:val="22"/>
        </w:rPr>
      </w:pPr>
      <w:smartTag w:uri="urn:schemas-microsoft-com:office:smarttags" w:element="stockticker">
        <w:r w:rsidRPr="00B61AB8">
          <w:rPr>
            <w:rFonts w:ascii="Arial" w:hAnsi="Arial" w:cs="Arial"/>
            <w:sz w:val="22"/>
            <w:szCs w:val="22"/>
          </w:rPr>
          <w:t>TRAC</w:t>
        </w:r>
      </w:smartTag>
      <w:r w:rsidRPr="00B61AB8">
        <w:rPr>
          <w:rFonts w:ascii="Arial" w:hAnsi="Arial" w:cs="Arial"/>
          <w:sz w:val="22"/>
          <w:szCs w:val="22"/>
        </w:rPr>
        <w:t xml:space="preserve"> Proceedings of meeting discussion</w:t>
      </w:r>
    </w:p>
    <w:p w:rsidR="00C36BFC" w:rsidRPr="00B61AB8" w:rsidRDefault="00C36BFC" w:rsidP="006901B4">
      <w:pPr>
        <w:jc w:val="both"/>
        <w:rPr>
          <w:rFonts w:ascii="Arial" w:hAnsi="Arial" w:cs="Arial"/>
          <w:sz w:val="22"/>
          <w:szCs w:val="22"/>
        </w:rPr>
      </w:pPr>
    </w:p>
    <w:p w:rsidR="006901B4" w:rsidRPr="00B61AB8" w:rsidRDefault="006901B4" w:rsidP="006901B4">
      <w:pPr>
        <w:jc w:val="both"/>
        <w:rPr>
          <w:rFonts w:ascii="Arial" w:hAnsi="Arial" w:cs="Arial"/>
          <w:b/>
          <w:sz w:val="22"/>
          <w:szCs w:val="22"/>
        </w:rPr>
      </w:pPr>
    </w:p>
    <w:p w:rsidR="006901B4" w:rsidRPr="00B61AB8" w:rsidRDefault="006901B4" w:rsidP="006901B4">
      <w:pPr>
        <w:jc w:val="both"/>
        <w:rPr>
          <w:rFonts w:ascii="Arial" w:hAnsi="Arial" w:cs="Arial"/>
          <w:b/>
          <w:sz w:val="22"/>
          <w:szCs w:val="22"/>
        </w:rPr>
      </w:pPr>
      <w:r w:rsidRPr="00B61AB8">
        <w:rPr>
          <w:rFonts w:ascii="Arial" w:hAnsi="Arial" w:cs="Arial"/>
          <w:b/>
          <w:sz w:val="22"/>
          <w:szCs w:val="22"/>
        </w:rPr>
        <w:t>Participants</w:t>
      </w:r>
    </w:p>
    <w:p w:rsidR="006901B4" w:rsidRPr="00B61AB8" w:rsidRDefault="006901B4" w:rsidP="006901B4">
      <w:pPr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6901B4" w:rsidRPr="00B61AB8" w:rsidRDefault="006901B4" w:rsidP="006901B4">
      <w:pPr>
        <w:jc w:val="both"/>
        <w:rPr>
          <w:rFonts w:ascii="Arial" w:hAnsi="Arial" w:cs="Arial"/>
          <w:sz w:val="22"/>
          <w:szCs w:val="22"/>
        </w:rPr>
      </w:pPr>
      <w:r w:rsidRPr="00B61AB8">
        <w:rPr>
          <w:rFonts w:ascii="Arial" w:hAnsi="Arial" w:cs="Arial"/>
          <w:sz w:val="22"/>
          <w:szCs w:val="22"/>
        </w:rPr>
        <w:t>DFO Maritimes scientists and managers</w:t>
      </w:r>
    </w:p>
    <w:p w:rsidR="006901B4" w:rsidRPr="00B61AB8" w:rsidRDefault="006901B4" w:rsidP="006901B4">
      <w:pPr>
        <w:jc w:val="both"/>
        <w:rPr>
          <w:rFonts w:ascii="Arial" w:hAnsi="Arial" w:cs="Arial"/>
          <w:sz w:val="22"/>
          <w:szCs w:val="22"/>
        </w:rPr>
      </w:pPr>
      <w:r w:rsidRPr="00B61AB8">
        <w:rPr>
          <w:rFonts w:ascii="Arial" w:hAnsi="Arial" w:cs="Arial"/>
          <w:sz w:val="22"/>
          <w:szCs w:val="22"/>
        </w:rPr>
        <w:t>NMFS Northeast Region scientists and managers</w:t>
      </w:r>
    </w:p>
    <w:p w:rsidR="006901B4" w:rsidRPr="00B61AB8" w:rsidRDefault="006901B4" w:rsidP="006901B4">
      <w:pPr>
        <w:jc w:val="both"/>
        <w:rPr>
          <w:rFonts w:ascii="Arial" w:hAnsi="Arial" w:cs="Arial"/>
          <w:sz w:val="22"/>
          <w:szCs w:val="22"/>
        </w:rPr>
      </w:pPr>
      <w:r w:rsidRPr="00B61AB8">
        <w:rPr>
          <w:rFonts w:ascii="Arial" w:hAnsi="Arial" w:cs="Arial"/>
          <w:sz w:val="22"/>
          <w:szCs w:val="22"/>
        </w:rPr>
        <w:t xml:space="preserve">Canadian and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sz w:val="22"/>
              <w:szCs w:val="22"/>
            </w:rPr>
            <w:t>U.S.</w:t>
          </w:r>
        </w:smartTag>
      </w:smartTag>
      <w:r>
        <w:rPr>
          <w:rFonts w:ascii="Arial" w:hAnsi="Arial" w:cs="Arial"/>
          <w:sz w:val="22"/>
          <w:szCs w:val="22"/>
        </w:rPr>
        <w:t xml:space="preserve"> </w:t>
      </w:r>
      <w:r w:rsidRPr="00B61AB8">
        <w:rPr>
          <w:rFonts w:ascii="Arial" w:hAnsi="Arial" w:cs="Arial"/>
          <w:sz w:val="22"/>
          <w:szCs w:val="22"/>
        </w:rPr>
        <w:t>fishing industry</w:t>
      </w:r>
    </w:p>
    <w:p w:rsidR="006901B4" w:rsidRPr="00B61AB8" w:rsidRDefault="006901B4" w:rsidP="006901B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U.S. </w:t>
      </w:r>
      <w:r w:rsidRPr="00B61AB8">
        <w:rPr>
          <w:rFonts w:ascii="Arial" w:hAnsi="Arial" w:cs="Arial"/>
          <w:sz w:val="22"/>
          <w:szCs w:val="22"/>
        </w:rPr>
        <w:t xml:space="preserve">State and Canadian Provincial (NB and NS) representatives </w:t>
      </w:r>
    </w:p>
    <w:p w:rsidR="006901B4" w:rsidRPr="00B61AB8" w:rsidRDefault="006901B4" w:rsidP="006901B4">
      <w:pPr>
        <w:jc w:val="both"/>
        <w:rPr>
          <w:sz w:val="22"/>
          <w:szCs w:val="22"/>
        </w:rPr>
      </w:pPr>
      <w:r w:rsidRPr="00B61AB8">
        <w:rPr>
          <w:rFonts w:ascii="Arial" w:hAnsi="Arial" w:cs="Arial"/>
          <w:sz w:val="22"/>
          <w:szCs w:val="22"/>
        </w:rPr>
        <w:t>NEFMC representatives</w:t>
      </w:r>
    </w:p>
    <w:p w:rsidR="006901B4" w:rsidRPr="00B61AB8" w:rsidRDefault="006901B4" w:rsidP="006901B4">
      <w:pPr>
        <w:jc w:val="both"/>
        <w:rPr>
          <w:rFonts w:ascii="Arial" w:hAnsi="Arial" w:cs="Arial"/>
          <w:sz w:val="22"/>
          <w:szCs w:val="22"/>
          <w:lang w:val="en-CA"/>
        </w:rPr>
      </w:pPr>
      <w:r w:rsidRPr="00B61AB8">
        <w:rPr>
          <w:rFonts w:ascii="Arial" w:hAnsi="Arial" w:cs="Arial"/>
          <w:sz w:val="22"/>
          <w:szCs w:val="22"/>
          <w:lang w:val="en-CA"/>
        </w:rPr>
        <w:t>Scientific and Statistical Committee (SSC) representatives</w:t>
      </w:r>
    </w:p>
    <w:p w:rsidR="006901B4" w:rsidRPr="000B60E5" w:rsidRDefault="006901B4" w:rsidP="006901B4">
      <w:pPr>
        <w:jc w:val="both"/>
        <w:rPr>
          <w:rFonts w:ascii="Arial" w:hAnsi="Arial" w:cs="Arial"/>
          <w:b/>
          <w:sz w:val="22"/>
          <w:szCs w:val="22"/>
        </w:rPr>
      </w:pPr>
    </w:p>
    <w:p w:rsidR="006901B4" w:rsidRPr="000B60E5" w:rsidRDefault="006901B4" w:rsidP="006901B4">
      <w:pPr>
        <w:pStyle w:val="Heading3"/>
        <w:spacing w:before="0" w:after="0"/>
        <w:jc w:val="both"/>
        <w:rPr>
          <w:rFonts w:ascii="Arial" w:hAnsi="Arial"/>
          <w:sz w:val="22"/>
          <w:szCs w:val="22"/>
        </w:rPr>
      </w:pPr>
    </w:p>
    <w:p w:rsidR="001D40E3" w:rsidRDefault="007F5495"/>
    <w:sectPr w:rsidR="001D40E3" w:rsidSect="00901D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F59D4"/>
    <w:multiLevelType w:val="hybridMultilevel"/>
    <w:tmpl w:val="B0704D6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668D023D"/>
    <w:multiLevelType w:val="hybridMultilevel"/>
    <w:tmpl w:val="9732E2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1B4"/>
    <w:rsid w:val="00025815"/>
    <w:rsid w:val="00026B14"/>
    <w:rsid w:val="000A31FE"/>
    <w:rsid w:val="000B4172"/>
    <w:rsid w:val="000D7A3E"/>
    <w:rsid w:val="000F7621"/>
    <w:rsid w:val="001501D8"/>
    <w:rsid w:val="00155431"/>
    <w:rsid w:val="00194138"/>
    <w:rsid w:val="001A302F"/>
    <w:rsid w:val="001B5963"/>
    <w:rsid w:val="001B707A"/>
    <w:rsid w:val="001F6AAB"/>
    <w:rsid w:val="002117ED"/>
    <w:rsid w:val="00222ECB"/>
    <w:rsid w:val="00225C1C"/>
    <w:rsid w:val="00237FB1"/>
    <w:rsid w:val="00243943"/>
    <w:rsid w:val="002910F7"/>
    <w:rsid w:val="002C1557"/>
    <w:rsid w:val="0030124B"/>
    <w:rsid w:val="00303FB5"/>
    <w:rsid w:val="00304E29"/>
    <w:rsid w:val="0031768C"/>
    <w:rsid w:val="00347E5C"/>
    <w:rsid w:val="00384494"/>
    <w:rsid w:val="00385604"/>
    <w:rsid w:val="00390636"/>
    <w:rsid w:val="003F7CFF"/>
    <w:rsid w:val="00433E8A"/>
    <w:rsid w:val="00466E71"/>
    <w:rsid w:val="004758CE"/>
    <w:rsid w:val="004910AE"/>
    <w:rsid w:val="004A1692"/>
    <w:rsid w:val="004A4BCE"/>
    <w:rsid w:val="004D60D2"/>
    <w:rsid w:val="0051254D"/>
    <w:rsid w:val="00552104"/>
    <w:rsid w:val="0056227E"/>
    <w:rsid w:val="00563252"/>
    <w:rsid w:val="005A654F"/>
    <w:rsid w:val="005B27BD"/>
    <w:rsid w:val="005D7305"/>
    <w:rsid w:val="005D7959"/>
    <w:rsid w:val="005D7AC7"/>
    <w:rsid w:val="006323C0"/>
    <w:rsid w:val="00645A8E"/>
    <w:rsid w:val="006638CE"/>
    <w:rsid w:val="00683CF5"/>
    <w:rsid w:val="006901B4"/>
    <w:rsid w:val="00690670"/>
    <w:rsid w:val="00691A81"/>
    <w:rsid w:val="006D3351"/>
    <w:rsid w:val="006D652B"/>
    <w:rsid w:val="006F232C"/>
    <w:rsid w:val="006F2CDA"/>
    <w:rsid w:val="00717720"/>
    <w:rsid w:val="00772EBF"/>
    <w:rsid w:val="00783272"/>
    <w:rsid w:val="007965F3"/>
    <w:rsid w:val="007B4C41"/>
    <w:rsid w:val="007B653F"/>
    <w:rsid w:val="007F1D72"/>
    <w:rsid w:val="007F2F44"/>
    <w:rsid w:val="007F5495"/>
    <w:rsid w:val="007F553D"/>
    <w:rsid w:val="008024BD"/>
    <w:rsid w:val="008801DD"/>
    <w:rsid w:val="00891AFC"/>
    <w:rsid w:val="00897D8B"/>
    <w:rsid w:val="008A51EC"/>
    <w:rsid w:val="008C2523"/>
    <w:rsid w:val="008D648D"/>
    <w:rsid w:val="008D7482"/>
    <w:rsid w:val="00901DB4"/>
    <w:rsid w:val="0096182D"/>
    <w:rsid w:val="00966349"/>
    <w:rsid w:val="009B0376"/>
    <w:rsid w:val="009B382E"/>
    <w:rsid w:val="009E0D7B"/>
    <w:rsid w:val="009F0F78"/>
    <w:rsid w:val="00A07C8D"/>
    <w:rsid w:val="00A63E9A"/>
    <w:rsid w:val="00AA0201"/>
    <w:rsid w:val="00AC2C73"/>
    <w:rsid w:val="00AF0710"/>
    <w:rsid w:val="00AF11C3"/>
    <w:rsid w:val="00B10678"/>
    <w:rsid w:val="00B31B17"/>
    <w:rsid w:val="00B978F8"/>
    <w:rsid w:val="00BB51ED"/>
    <w:rsid w:val="00BD3A6C"/>
    <w:rsid w:val="00C02130"/>
    <w:rsid w:val="00C04607"/>
    <w:rsid w:val="00C23548"/>
    <w:rsid w:val="00C36BFC"/>
    <w:rsid w:val="00C456EC"/>
    <w:rsid w:val="00C60EA3"/>
    <w:rsid w:val="00CB6553"/>
    <w:rsid w:val="00D270EC"/>
    <w:rsid w:val="00D67354"/>
    <w:rsid w:val="00D86209"/>
    <w:rsid w:val="00DA6BC3"/>
    <w:rsid w:val="00DD034C"/>
    <w:rsid w:val="00DF21D5"/>
    <w:rsid w:val="00DF29BA"/>
    <w:rsid w:val="00E1317A"/>
    <w:rsid w:val="00E1477B"/>
    <w:rsid w:val="00E50874"/>
    <w:rsid w:val="00E805BD"/>
    <w:rsid w:val="00E95C3E"/>
    <w:rsid w:val="00EC7820"/>
    <w:rsid w:val="00ED404C"/>
    <w:rsid w:val="00EE4412"/>
    <w:rsid w:val="00EF48E1"/>
    <w:rsid w:val="00F00BDE"/>
    <w:rsid w:val="00F23143"/>
    <w:rsid w:val="00F25788"/>
    <w:rsid w:val="00F32F4E"/>
    <w:rsid w:val="00F35AE1"/>
    <w:rsid w:val="00F44A16"/>
    <w:rsid w:val="00F50C94"/>
    <w:rsid w:val="00F647AA"/>
    <w:rsid w:val="00F76C05"/>
    <w:rsid w:val="00FA220D"/>
    <w:rsid w:val="00FA40EB"/>
    <w:rsid w:val="00FA6C3A"/>
    <w:rsid w:val="00FB29EE"/>
    <w:rsid w:val="00FB56E1"/>
    <w:rsid w:val="00FD43AE"/>
    <w:rsid w:val="00FE4A1D"/>
    <w:rsid w:val="00FF130F"/>
    <w:rsid w:val="00FF6314"/>
    <w:rsid w:val="00FF7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01B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qFormat/>
    <w:rsid w:val="006901B4"/>
    <w:pPr>
      <w:keepNext/>
      <w:spacing w:before="120" w:after="60"/>
      <w:outlineLvl w:val="2"/>
    </w:pPr>
    <w:rPr>
      <w:rFonts w:cs="Arial"/>
      <w:b/>
      <w:bCs/>
      <w:i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6901B4"/>
    <w:rPr>
      <w:rFonts w:ascii="Times New Roman" w:eastAsia="Times New Roman" w:hAnsi="Times New Roman" w:cs="Arial"/>
      <w:b/>
      <w:bCs/>
      <w:i/>
      <w:sz w:val="24"/>
      <w:szCs w:val="26"/>
    </w:rPr>
  </w:style>
  <w:style w:type="paragraph" w:styleId="Title">
    <w:name w:val="Title"/>
    <w:aliases w:val=" Char"/>
    <w:basedOn w:val="Normal"/>
    <w:link w:val="TitleChar"/>
    <w:qFormat/>
    <w:rsid w:val="006901B4"/>
    <w:pPr>
      <w:jc w:val="center"/>
    </w:pPr>
    <w:rPr>
      <w:b/>
      <w:sz w:val="28"/>
    </w:rPr>
  </w:style>
  <w:style w:type="character" w:customStyle="1" w:styleId="TitleChar">
    <w:name w:val="Title Char"/>
    <w:aliases w:val=" Char Char"/>
    <w:basedOn w:val="DefaultParagraphFont"/>
    <w:link w:val="Title"/>
    <w:rsid w:val="006901B4"/>
    <w:rPr>
      <w:rFonts w:ascii="Times New Roman" w:eastAsia="Times New Roman" w:hAnsi="Times New Roman" w:cs="Times New Roman"/>
      <w:b/>
      <w:sz w:val="28"/>
      <w:szCs w:val="20"/>
    </w:rPr>
  </w:style>
  <w:style w:type="paragraph" w:styleId="ListParagraph">
    <w:name w:val="List Paragraph"/>
    <w:basedOn w:val="Normal"/>
    <w:uiPriority w:val="34"/>
    <w:qFormat/>
    <w:rsid w:val="00F32F4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231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143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01B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qFormat/>
    <w:rsid w:val="006901B4"/>
    <w:pPr>
      <w:keepNext/>
      <w:spacing w:before="120" w:after="60"/>
      <w:outlineLvl w:val="2"/>
    </w:pPr>
    <w:rPr>
      <w:rFonts w:cs="Arial"/>
      <w:b/>
      <w:bCs/>
      <w:i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6901B4"/>
    <w:rPr>
      <w:rFonts w:ascii="Times New Roman" w:eastAsia="Times New Roman" w:hAnsi="Times New Roman" w:cs="Arial"/>
      <w:b/>
      <w:bCs/>
      <w:i/>
      <w:sz w:val="24"/>
      <w:szCs w:val="26"/>
    </w:rPr>
  </w:style>
  <w:style w:type="paragraph" w:styleId="Title">
    <w:name w:val="Title"/>
    <w:aliases w:val=" Char"/>
    <w:basedOn w:val="Normal"/>
    <w:link w:val="TitleChar"/>
    <w:qFormat/>
    <w:rsid w:val="006901B4"/>
    <w:pPr>
      <w:jc w:val="center"/>
    </w:pPr>
    <w:rPr>
      <w:b/>
      <w:sz w:val="28"/>
    </w:rPr>
  </w:style>
  <w:style w:type="character" w:customStyle="1" w:styleId="TitleChar">
    <w:name w:val="Title Char"/>
    <w:aliases w:val=" Char Char"/>
    <w:basedOn w:val="DefaultParagraphFont"/>
    <w:link w:val="Title"/>
    <w:rsid w:val="006901B4"/>
    <w:rPr>
      <w:rFonts w:ascii="Times New Roman" w:eastAsia="Times New Roman" w:hAnsi="Times New Roman" w:cs="Times New Roman"/>
      <w:b/>
      <w:sz w:val="28"/>
      <w:szCs w:val="20"/>
    </w:rPr>
  </w:style>
  <w:style w:type="paragraph" w:styleId="ListParagraph">
    <w:name w:val="List Paragraph"/>
    <w:basedOn w:val="Normal"/>
    <w:uiPriority w:val="34"/>
    <w:qFormat/>
    <w:rsid w:val="00F32F4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231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14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877A00-97A9-440D-9702-D160106B6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519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lobrien</dc:creator>
  <cp:lastModifiedBy>Worcester, Tana</cp:lastModifiedBy>
  <cp:revision>3</cp:revision>
  <cp:lastPrinted>2014-04-29T16:32:00Z</cp:lastPrinted>
  <dcterms:created xsi:type="dcterms:W3CDTF">2014-06-06T15:08:00Z</dcterms:created>
  <dcterms:modified xsi:type="dcterms:W3CDTF">2014-06-06T15:10:00Z</dcterms:modified>
</cp:coreProperties>
</file>