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01B4" w:rsidRPr="00B22C9D" w:rsidRDefault="006901B4" w:rsidP="006901B4">
      <w:pPr>
        <w:jc w:val="center"/>
        <w:rPr>
          <w:rFonts w:ascii="Arial" w:hAnsi="Arial" w:cs="Arial"/>
          <w:b/>
          <w:sz w:val="22"/>
          <w:szCs w:val="22"/>
        </w:rPr>
      </w:pPr>
      <w:r>
        <w:rPr>
          <w:rFonts w:ascii="Arial" w:hAnsi="Arial"/>
          <w:b/>
          <w:sz w:val="22"/>
        </w:rPr>
        <w:t>Comité d</w:t>
      </w:r>
      <w:r w:rsidR="00DE0C8C">
        <w:rPr>
          <w:rFonts w:ascii="Arial" w:hAnsi="Arial"/>
          <w:b/>
          <w:sz w:val="22"/>
        </w:rPr>
        <w:t>'</w:t>
      </w:r>
      <w:r>
        <w:rPr>
          <w:rFonts w:ascii="Arial" w:hAnsi="Arial"/>
          <w:b/>
          <w:sz w:val="22"/>
        </w:rPr>
        <w:t>évaluation des ressources transfrontalières</w:t>
      </w:r>
    </w:p>
    <w:p w:rsidR="006901B4" w:rsidRPr="00B22C9D" w:rsidRDefault="006901B4" w:rsidP="006901B4">
      <w:pPr>
        <w:jc w:val="center"/>
        <w:rPr>
          <w:rFonts w:ascii="Arial" w:hAnsi="Arial" w:cs="Arial"/>
          <w:b/>
          <w:sz w:val="22"/>
          <w:szCs w:val="22"/>
        </w:rPr>
      </w:pPr>
      <w:r>
        <w:rPr>
          <w:rFonts w:ascii="Arial" w:hAnsi="Arial"/>
          <w:b/>
          <w:sz w:val="22"/>
        </w:rPr>
        <w:t>Évaluation de la morue et de l</w:t>
      </w:r>
      <w:r w:rsidR="00DE0C8C">
        <w:rPr>
          <w:rFonts w:ascii="Arial" w:hAnsi="Arial"/>
          <w:b/>
          <w:sz w:val="22"/>
        </w:rPr>
        <w:t>'</w:t>
      </w:r>
      <w:r>
        <w:rPr>
          <w:rFonts w:ascii="Arial" w:hAnsi="Arial"/>
          <w:b/>
          <w:sz w:val="22"/>
        </w:rPr>
        <w:t>aiglefin de l</w:t>
      </w:r>
      <w:r w:rsidR="00DE0C8C">
        <w:rPr>
          <w:rFonts w:ascii="Arial" w:hAnsi="Arial"/>
          <w:b/>
          <w:sz w:val="22"/>
        </w:rPr>
        <w:t>'</w:t>
      </w:r>
      <w:r>
        <w:rPr>
          <w:rFonts w:ascii="Arial" w:hAnsi="Arial"/>
          <w:b/>
          <w:sz w:val="22"/>
        </w:rPr>
        <w:t>est du banc de Georges et de la limande à queue jaune du banc de Georges</w:t>
      </w:r>
    </w:p>
    <w:p w:rsidR="006901B4" w:rsidRPr="00B22C9D" w:rsidRDefault="006901B4" w:rsidP="006901B4">
      <w:pPr>
        <w:jc w:val="center"/>
        <w:rPr>
          <w:rFonts w:ascii="Arial" w:hAnsi="Arial" w:cs="Arial"/>
          <w:b/>
          <w:sz w:val="22"/>
          <w:szCs w:val="22"/>
        </w:rPr>
      </w:pPr>
    </w:p>
    <w:p w:rsidR="006901B4" w:rsidRPr="00B22C9D" w:rsidRDefault="00FA220D" w:rsidP="006901B4">
      <w:pPr>
        <w:jc w:val="center"/>
        <w:rPr>
          <w:rFonts w:ascii="Arial" w:hAnsi="Arial" w:cs="Arial"/>
          <w:b/>
          <w:sz w:val="22"/>
          <w:szCs w:val="22"/>
        </w:rPr>
      </w:pPr>
      <w:r>
        <w:rPr>
          <w:rFonts w:ascii="Arial" w:hAnsi="Arial"/>
          <w:b/>
          <w:sz w:val="22"/>
        </w:rPr>
        <w:t>Du 23 au 26 juin 2014</w:t>
      </w:r>
    </w:p>
    <w:p w:rsidR="006901B4" w:rsidRPr="00B22C9D" w:rsidRDefault="00FA220D" w:rsidP="006901B4">
      <w:pPr>
        <w:pStyle w:val="Title"/>
        <w:rPr>
          <w:rFonts w:ascii="Arial" w:hAnsi="Arial" w:cs="Arial"/>
          <w:sz w:val="22"/>
          <w:szCs w:val="22"/>
        </w:rPr>
      </w:pPr>
      <w:r>
        <w:rPr>
          <w:rFonts w:ascii="Arial" w:hAnsi="Arial"/>
          <w:sz w:val="22"/>
        </w:rPr>
        <w:t>Woods Hole, Massachusetts</w:t>
      </w:r>
    </w:p>
    <w:p w:rsidR="006901B4" w:rsidRPr="00B22C9D" w:rsidRDefault="006901B4" w:rsidP="006901B4">
      <w:pPr>
        <w:rPr>
          <w:rFonts w:ascii="Arial" w:hAnsi="Arial" w:cs="Arial"/>
          <w:b/>
          <w:sz w:val="22"/>
          <w:szCs w:val="22"/>
        </w:rPr>
      </w:pPr>
    </w:p>
    <w:p w:rsidR="006901B4" w:rsidRPr="00B22C9D" w:rsidRDefault="006901B4" w:rsidP="006901B4">
      <w:pPr>
        <w:jc w:val="center"/>
        <w:rPr>
          <w:rFonts w:ascii="Arial" w:hAnsi="Arial" w:cs="Arial"/>
          <w:b/>
          <w:sz w:val="22"/>
          <w:szCs w:val="22"/>
        </w:rPr>
      </w:pPr>
      <w:r>
        <w:rPr>
          <w:rFonts w:ascii="Arial" w:hAnsi="Arial"/>
          <w:b/>
          <w:sz w:val="22"/>
        </w:rPr>
        <w:t>CADRE DE RÉFÉRENCE</w:t>
      </w:r>
    </w:p>
    <w:p w:rsidR="006901B4" w:rsidRPr="00B22C9D" w:rsidRDefault="006901B4" w:rsidP="006901B4">
      <w:pPr>
        <w:rPr>
          <w:rFonts w:ascii="Arial" w:hAnsi="Arial" w:cs="Arial"/>
          <w:sz w:val="22"/>
          <w:szCs w:val="22"/>
        </w:rPr>
      </w:pPr>
    </w:p>
    <w:p w:rsidR="006901B4" w:rsidRPr="00B22C9D" w:rsidRDefault="006901B4" w:rsidP="006901B4">
      <w:pPr>
        <w:rPr>
          <w:rFonts w:ascii="Arial" w:hAnsi="Arial" w:cs="Arial"/>
          <w:b/>
          <w:sz w:val="22"/>
          <w:szCs w:val="22"/>
        </w:rPr>
      </w:pPr>
      <w:r>
        <w:rPr>
          <w:rFonts w:ascii="Arial" w:hAnsi="Arial"/>
          <w:b/>
          <w:sz w:val="22"/>
        </w:rPr>
        <w:t>Contexte</w:t>
      </w:r>
    </w:p>
    <w:p w:rsidR="006901B4" w:rsidRPr="00B22C9D" w:rsidRDefault="006901B4" w:rsidP="006901B4">
      <w:pPr>
        <w:rPr>
          <w:rFonts w:ascii="Arial" w:hAnsi="Arial" w:cs="Arial"/>
          <w:sz w:val="22"/>
          <w:szCs w:val="22"/>
        </w:rPr>
      </w:pPr>
    </w:p>
    <w:p w:rsidR="006901B4" w:rsidRPr="00B22C9D" w:rsidRDefault="006901B4" w:rsidP="006901B4">
      <w:pPr>
        <w:jc w:val="both"/>
        <w:rPr>
          <w:rFonts w:ascii="Arial" w:hAnsi="Arial" w:cs="Arial"/>
          <w:sz w:val="22"/>
          <w:szCs w:val="22"/>
        </w:rPr>
      </w:pPr>
      <w:r>
        <w:rPr>
          <w:rFonts w:ascii="Arial" w:hAnsi="Arial"/>
          <w:sz w:val="22"/>
        </w:rPr>
        <w:t>Le Comité d</w:t>
      </w:r>
      <w:r w:rsidR="00DE0C8C">
        <w:rPr>
          <w:rFonts w:ascii="Arial" w:hAnsi="Arial"/>
          <w:sz w:val="22"/>
        </w:rPr>
        <w:t>'</w:t>
      </w:r>
      <w:r>
        <w:rPr>
          <w:rFonts w:ascii="Arial" w:hAnsi="Arial"/>
          <w:sz w:val="22"/>
        </w:rPr>
        <w:t>évaluation des ressources transfrontalières reçoit annuellement des demandes de conseils liées à la récolte de ressources transfrontalières de la part du Comité d</w:t>
      </w:r>
      <w:r w:rsidR="00DE0C8C">
        <w:rPr>
          <w:rFonts w:ascii="Arial" w:hAnsi="Arial"/>
          <w:sz w:val="22"/>
        </w:rPr>
        <w:t>'</w:t>
      </w:r>
      <w:r>
        <w:rPr>
          <w:rFonts w:ascii="Arial" w:hAnsi="Arial"/>
          <w:sz w:val="22"/>
        </w:rPr>
        <w:t>orientation de la gestion des stocks transfrontaliers.</w:t>
      </w:r>
    </w:p>
    <w:p w:rsidR="006901B4" w:rsidRPr="00B22C9D" w:rsidRDefault="006901B4" w:rsidP="006901B4">
      <w:pPr>
        <w:jc w:val="both"/>
        <w:rPr>
          <w:rFonts w:ascii="Arial" w:hAnsi="Arial" w:cs="Arial"/>
          <w:sz w:val="22"/>
          <w:szCs w:val="22"/>
        </w:rPr>
      </w:pPr>
    </w:p>
    <w:p w:rsidR="006901B4" w:rsidRPr="00B22C9D" w:rsidRDefault="006901B4" w:rsidP="00D86209">
      <w:pPr>
        <w:jc w:val="both"/>
        <w:rPr>
          <w:rFonts w:ascii="Arial" w:hAnsi="Arial" w:cs="Arial"/>
          <w:sz w:val="22"/>
          <w:szCs w:val="22"/>
        </w:rPr>
      </w:pPr>
      <w:r>
        <w:rPr>
          <w:rFonts w:ascii="Arial" w:hAnsi="Arial"/>
          <w:sz w:val="22"/>
        </w:rPr>
        <w:t>Pour les ressources suivantes, notamment la morue de l</w:t>
      </w:r>
      <w:r w:rsidR="00DE0C8C">
        <w:rPr>
          <w:rFonts w:ascii="Arial" w:hAnsi="Arial"/>
          <w:sz w:val="22"/>
        </w:rPr>
        <w:t>'</w:t>
      </w:r>
      <w:r>
        <w:rPr>
          <w:rFonts w:ascii="Arial" w:hAnsi="Arial"/>
          <w:sz w:val="22"/>
        </w:rPr>
        <w:t>est du banc de Georges, l</w:t>
      </w:r>
      <w:r w:rsidR="00DE0C8C">
        <w:rPr>
          <w:rFonts w:ascii="Arial" w:hAnsi="Arial"/>
          <w:sz w:val="22"/>
        </w:rPr>
        <w:t>'</w:t>
      </w:r>
      <w:r>
        <w:rPr>
          <w:rFonts w:ascii="Arial" w:hAnsi="Arial"/>
          <w:sz w:val="22"/>
        </w:rPr>
        <w:t>aiglefin de l</w:t>
      </w:r>
      <w:r w:rsidR="00DE0C8C">
        <w:rPr>
          <w:rFonts w:ascii="Arial" w:hAnsi="Arial"/>
          <w:sz w:val="22"/>
        </w:rPr>
        <w:t>'</w:t>
      </w:r>
      <w:r>
        <w:rPr>
          <w:rFonts w:ascii="Arial" w:hAnsi="Arial"/>
          <w:sz w:val="22"/>
        </w:rPr>
        <w:t>est du banc de Georges et limande à queue jaune du banc de Georges :</w:t>
      </w:r>
    </w:p>
    <w:p w:rsidR="006D652B" w:rsidRPr="00B22C9D" w:rsidRDefault="006D652B" w:rsidP="006901B4">
      <w:pPr>
        <w:ind w:left="720"/>
        <w:jc w:val="both"/>
        <w:rPr>
          <w:rFonts w:ascii="Arial" w:hAnsi="Arial" w:cs="Arial"/>
          <w:sz w:val="22"/>
          <w:szCs w:val="22"/>
        </w:rPr>
      </w:pPr>
    </w:p>
    <w:p w:rsidR="00FF765E" w:rsidRPr="00B22C9D" w:rsidRDefault="001A302F" w:rsidP="006D652B">
      <w:pPr>
        <w:numPr>
          <w:ilvl w:val="0"/>
          <w:numId w:val="1"/>
        </w:numPr>
        <w:tabs>
          <w:tab w:val="clear" w:pos="720"/>
          <w:tab w:val="num" w:pos="360"/>
        </w:tabs>
        <w:ind w:left="360"/>
        <w:jc w:val="both"/>
        <w:rPr>
          <w:rFonts w:ascii="Arial" w:hAnsi="Arial" w:cs="Arial"/>
          <w:sz w:val="22"/>
          <w:szCs w:val="22"/>
        </w:rPr>
      </w:pPr>
      <w:r>
        <w:rPr>
          <w:rFonts w:ascii="Arial" w:hAnsi="Arial"/>
          <w:sz w:val="22"/>
        </w:rPr>
        <w:t xml:space="preserve">Appliquer les évaluations de référence pour faire état des stocks, mettre à jour les résultats concernant les renseignements les plus récents découlant des pêches, y compris les estimations de rejets et les relevés de recherche, et caractériser les incertitudes relatives aux estimations. </w:t>
      </w:r>
    </w:p>
    <w:p w:rsidR="00FF765E" w:rsidRPr="00B22C9D" w:rsidRDefault="00FF765E" w:rsidP="007965F3">
      <w:pPr>
        <w:jc w:val="both"/>
        <w:rPr>
          <w:rFonts w:ascii="Arial" w:hAnsi="Arial" w:cs="Arial"/>
          <w:sz w:val="22"/>
          <w:szCs w:val="22"/>
        </w:rPr>
      </w:pPr>
    </w:p>
    <w:p w:rsidR="006901B4" w:rsidRPr="00B22C9D" w:rsidRDefault="00FF765E" w:rsidP="006D652B">
      <w:pPr>
        <w:numPr>
          <w:ilvl w:val="0"/>
          <w:numId w:val="1"/>
        </w:numPr>
        <w:tabs>
          <w:tab w:val="clear" w:pos="720"/>
          <w:tab w:val="num" w:pos="360"/>
        </w:tabs>
        <w:ind w:left="360"/>
        <w:jc w:val="both"/>
        <w:rPr>
          <w:rFonts w:ascii="Arial" w:hAnsi="Arial" w:cs="Arial"/>
          <w:sz w:val="22"/>
          <w:szCs w:val="22"/>
        </w:rPr>
      </w:pPr>
      <w:r>
        <w:rPr>
          <w:rFonts w:ascii="Arial" w:hAnsi="Arial"/>
          <w:sz w:val="22"/>
        </w:rPr>
        <w:t>Selon les résultats de l</w:t>
      </w:r>
      <w:r w:rsidR="00DE0C8C">
        <w:rPr>
          <w:rFonts w:ascii="Arial" w:hAnsi="Arial"/>
          <w:sz w:val="22"/>
        </w:rPr>
        <w:t>'</w:t>
      </w:r>
      <w:r>
        <w:rPr>
          <w:rFonts w:ascii="Arial" w:hAnsi="Arial"/>
          <w:sz w:val="22"/>
        </w:rPr>
        <w:t>approche empirique de référence relative à la limande à queue jaune du banc de Georges, les résultats de la méthode empirique seront examinés seuls à titre de base pour les conseils en matière de prises ou ils seront examinés de pair avec les résultats de la modélisation de l</w:t>
      </w:r>
      <w:r w:rsidR="00DE0C8C">
        <w:rPr>
          <w:rFonts w:ascii="Arial" w:hAnsi="Arial"/>
          <w:sz w:val="22"/>
        </w:rPr>
        <w:t>'</w:t>
      </w:r>
      <w:r>
        <w:rPr>
          <w:rFonts w:ascii="Arial" w:hAnsi="Arial"/>
          <w:sz w:val="22"/>
        </w:rPr>
        <w:t>analyse de population virtuelle actuelle (analyse de population virtuelle découlant de la référence de 2005) ainsi qu</w:t>
      </w:r>
      <w:r w:rsidR="00DE0C8C">
        <w:rPr>
          <w:rFonts w:ascii="Arial" w:hAnsi="Arial"/>
          <w:sz w:val="22"/>
        </w:rPr>
        <w:t>'</w:t>
      </w:r>
      <w:r>
        <w:rPr>
          <w:rFonts w:ascii="Arial" w:hAnsi="Arial"/>
          <w:sz w:val="22"/>
        </w:rPr>
        <w:t>avec les résultats des tests de sensibilité de l</w:t>
      </w:r>
      <w:r w:rsidR="00DE0C8C">
        <w:rPr>
          <w:rFonts w:ascii="Arial" w:hAnsi="Arial"/>
          <w:sz w:val="22"/>
        </w:rPr>
        <w:t>'</w:t>
      </w:r>
      <w:r>
        <w:rPr>
          <w:rFonts w:ascii="Arial" w:hAnsi="Arial"/>
          <w:sz w:val="22"/>
        </w:rPr>
        <w:t xml:space="preserve">analyse de population virtuelle, comme par le passé. </w:t>
      </w:r>
    </w:p>
    <w:p w:rsidR="006901B4" w:rsidRPr="00B22C9D" w:rsidRDefault="006901B4" w:rsidP="006901B4">
      <w:pPr>
        <w:jc w:val="both"/>
        <w:rPr>
          <w:rFonts w:ascii="Arial" w:hAnsi="Arial" w:cs="Arial"/>
          <w:sz w:val="22"/>
          <w:szCs w:val="22"/>
        </w:rPr>
      </w:pPr>
    </w:p>
    <w:p w:rsidR="006901B4" w:rsidRPr="00B22C9D" w:rsidRDefault="006901B4" w:rsidP="006901B4">
      <w:pPr>
        <w:numPr>
          <w:ilvl w:val="0"/>
          <w:numId w:val="1"/>
        </w:numPr>
        <w:tabs>
          <w:tab w:val="clear" w:pos="720"/>
          <w:tab w:val="num" w:pos="360"/>
        </w:tabs>
        <w:ind w:left="360"/>
        <w:jc w:val="both"/>
        <w:rPr>
          <w:rFonts w:ascii="Arial" w:hAnsi="Arial" w:cs="Arial"/>
          <w:sz w:val="22"/>
          <w:szCs w:val="22"/>
        </w:rPr>
      </w:pPr>
      <w:r>
        <w:rPr>
          <w:rFonts w:ascii="Arial" w:hAnsi="Arial"/>
          <w:sz w:val="22"/>
        </w:rPr>
        <w:t>Décrire toute modification des modèles d</w:t>
      </w:r>
      <w:r w:rsidR="00DE0C8C">
        <w:rPr>
          <w:rFonts w:ascii="Arial" w:hAnsi="Arial"/>
          <w:sz w:val="22"/>
        </w:rPr>
        <w:t>'</w:t>
      </w:r>
      <w:r>
        <w:rPr>
          <w:rFonts w:ascii="Arial" w:hAnsi="Arial"/>
          <w:sz w:val="22"/>
        </w:rPr>
        <w:t>évaluation de référence qui a été appliquée durant les réunions du Comité d</w:t>
      </w:r>
      <w:r w:rsidR="00DE0C8C">
        <w:rPr>
          <w:rFonts w:ascii="Arial" w:hAnsi="Arial"/>
          <w:sz w:val="22"/>
        </w:rPr>
        <w:t>'</w:t>
      </w:r>
      <w:r>
        <w:rPr>
          <w:rFonts w:ascii="Arial" w:hAnsi="Arial"/>
          <w:sz w:val="22"/>
        </w:rPr>
        <w:t>évaluation des ressources transfrontalières, ce qui comprend les incidences sur les conseils prodigués au Comité d</w:t>
      </w:r>
      <w:r w:rsidR="00DE0C8C">
        <w:rPr>
          <w:rFonts w:ascii="Arial" w:hAnsi="Arial"/>
          <w:sz w:val="22"/>
        </w:rPr>
        <w:t>'</w:t>
      </w:r>
      <w:r>
        <w:rPr>
          <w:rFonts w:ascii="Arial" w:hAnsi="Arial"/>
          <w:sz w:val="22"/>
        </w:rPr>
        <w:t>orientation de la gestion des stocks transfrontaliers.</w:t>
      </w:r>
    </w:p>
    <w:p w:rsidR="006901B4" w:rsidRPr="00B22C9D" w:rsidRDefault="006901B4" w:rsidP="006901B4">
      <w:pPr>
        <w:jc w:val="both"/>
        <w:rPr>
          <w:rFonts w:ascii="Arial" w:hAnsi="Arial" w:cs="Arial"/>
          <w:sz w:val="22"/>
          <w:szCs w:val="22"/>
        </w:rPr>
      </w:pPr>
    </w:p>
    <w:p w:rsidR="006901B4" w:rsidRPr="00B22C9D" w:rsidRDefault="006901B4" w:rsidP="006901B4">
      <w:pPr>
        <w:numPr>
          <w:ilvl w:val="0"/>
          <w:numId w:val="1"/>
        </w:numPr>
        <w:tabs>
          <w:tab w:val="clear" w:pos="720"/>
          <w:tab w:val="num" w:pos="360"/>
        </w:tabs>
        <w:ind w:left="360"/>
        <w:jc w:val="both"/>
        <w:rPr>
          <w:rFonts w:ascii="Arial" w:hAnsi="Arial" w:cs="Arial"/>
          <w:sz w:val="22"/>
          <w:szCs w:val="22"/>
        </w:rPr>
      </w:pPr>
      <w:r>
        <w:rPr>
          <w:rFonts w:ascii="Arial" w:hAnsi="Arial"/>
          <w:sz w:val="22"/>
        </w:rPr>
        <w:t>Évaluer et quantifier, dans la mesure du possible, l</w:t>
      </w:r>
      <w:r w:rsidR="00DE0C8C">
        <w:rPr>
          <w:rFonts w:ascii="Arial" w:hAnsi="Arial"/>
          <w:sz w:val="22"/>
        </w:rPr>
        <w:t>'</w:t>
      </w:r>
      <w:r>
        <w:rPr>
          <w:rFonts w:ascii="Arial" w:hAnsi="Arial"/>
          <w:sz w:val="22"/>
        </w:rPr>
        <w:t>incertitude scientifique des résultats de l</w:t>
      </w:r>
      <w:r w:rsidR="00DE0C8C">
        <w:rPr>
          <w:rFonts w:ascii="Arial" w:hAnsi="Arial"/>
          <w:sz w:val="22"/>
        </w:rPr>
        <w:t>'</w:t>
      </w:r>
      <w:r>
        <w:rPr>
          <w:rFonts w:ascii="Arial" w:hAnsi="Arial"/>
          <w:sz w:val="22"/>
        </w:rPr>
        <w:t>évaluation (détermination de l</w:t>
      </w:r>
      <w:r w:rsidR="00DE0C8C">
        <w:rPr>
          <w:rFonts w:ascii="Arial" w:hAnsi="Arial"/>
          <w:sz w:val="22"/>
        </w:rPr>
        <w:t>'</w:t>
      </w:r>
      <w:r>
        <w:rPr>
          <w:rFonts w:ascii="Arial" w:hAnsi="Arial"/>
          <w:sz w:val="22"/>
        </w:rPr>
        <w:t xml:space="preserve">état du stock et projection des prises), </w:t>
      </w:r>
      <w:proofErr w:type="gramStart"/>
      <w:r>
        <w:rPr>
          <w:rFonts w:ascii="Arial" w:hAnsi="Arial"/>
          <w:sz w:val="22"/>
        </w:rPr>
        <w:t>discuter</w:t>
      </w:r>
      <w:proofErr w:type="gramEnd"/>
      <w:r>
        <w:rPr>
          <w:rFonts w:ascii="Arial" w:hAnsi="Arial"/>
          <w:sz w:val="22"/>
        </w:rPr>
        <w:t xml:space="preserve"> des pratiques actuelles de caractérisation et des méthodes d</w:t>
      </w:r>
      <w:r w:rsidR="00DE0C8C">
        <w:rPr>
          <w:rFonts w:ascii="Arial" w:hAnsi="Arial"/>
          <w:sz w:val="22"/>
        </w:rPr>
        <w:t>'</w:t>
      </w:r>
      <w:r>
        <w:rPr>
          <w:rFonts w:ascii="Arial" w:hAnsi="Arial"/>
          <w:sz w:val="22"/>
        </w:rPr>
        <w:t xml:space="preserve">évaluation de rechange. </w:t>
      </w:r>
    </w:p>
    <w:p w:rsidR="00194138" w:rsidRPr="00B22C9D" w:rsidRDefault="00194138" w:rsidP="00194138">
      <w:pPr>
        <w:pStyle w:val="ListParagraph"/>
        <w:rPr>
          <w:rFonts w:ascii="Arial" w:hAnsi="Arial" w:cs="Arial"/>
          <w:sz w:val="22"/>
          <w:szCs w:val="22"/>
        </w:rPr>
      </w:pPr>
    </w:p>
    <w:p w:rsidR="00194138" w:rsidRPr="00B22C9D" w:rsidRDefault="004758CE" w:rsidP="00194138">
      <w:pPr>
        <w:numPr>
          <w:ilvl w:val="0"/>
          <w:numId w:val="1"/>
        </w:numPr>
        <w:tabs>
          <w:tab w:val="clear" w:pos="720"/>
          <w:tab w:val="num" w:pos="360"/>
        </w:tabs>
        <w:ind w:left="360"/>
        <w:jc w:val="both"/>
        <w:rPr>
          <w:rFonts w:ascii="Arial" w:hAnsi="Arial" w:cs="Arial"/>
          <w:sz w:val="22"/>
          <w:szCs w:val="22"/>
        </w:rPr>
      </w:pPr>
      <w:r>
        <w:rPr>
          <w:rFonts w:ascii="Arial" w:hAnsi="Arial"/>
          <w:sz w:val="22"/>
        </w:rPr>
        <w:t>Fournir des analyses de sensibilité pour tenir compte du biais rétrospectif sur la biomasse du stock ainsi que des estimations de la mortalité par pêche dans le cas de la morue, de l</w:t>
      </w:r>
      <w:r w:rsidR="00DE0C8C">
        <w:rPr>
          <w:rFonts w:ascii="Arial" w:hAnsi="Arial"/>
          <w:sz w:val="22"/>
        </w:rPr>
        <w:t>'</w:t>
      </w:r>
      <w:r>
        <w:rPr>
          <w:rFonts w:ascii="Arial" w:hAnsi="Arial"/>
          <w:sz w:val="22"/>
        </w:rPr>
        <w:t xml:space="preserve">aiglefin et de la limande à queue jaune, le cas échéant. </w:t>
      </w:r>
    </w:p>
    <w:p w:rsidR="006901B4" w:rsidRPr="00B22C9D" w:rsidRDefault="006901B4" w:rsidP="006901B4">
      <w:pPr>
        <w:jc w:val="both"/>
        <w:rPr>
          <w:rFonts w:ascii="Arial" w:hAnsi="Arial" w:cs="Arial"/>
          <w:sz w:val="22"/>
          <w:szCs w:val="22"/>
        </w:rPr>
      </w:pPr>
    </w:p>
    <w:p w:rsidR="008C2523" w:rsidRPr="00B22C9D" w:rsidRDefault="006901B4">
      <w:pPr>
        <w:numPr>
          <w:ilvl w:val="0"/>
          <w:numId w:val="2"/>
        </w:numPr>
        <w:autoSpaceDE w:val="0"/>
        <w:autoSpaceDN w:val="0"/>
        <w:adjustRightInd w:val="0"/>
        <w:jc w:val="both"/>
        <w:rPr>
          <w:rFonts w:ascii="Arial" w:hAnsi="Arial" w:cs="Arial"/>
          <w:sz w:val="22"/>
          <w:szCs w:val="22"/>
        </w:rPr>
      </w:pPr>
      <w:r>
        <w:rPr>
          <w:rFonts w:ascii="Arial" w:hAnsi="Arial"/>
          <w:sz w:val="22"/>
        </w:rPr>
        <w:t>Pour un éventail de valeurs de prises totales de 2015, estimer le risque que le taux de mortalité par pêche de 2015 dépasse les valeurs F</w:t>
      </w:r>
      <w:r>
        <w:rPr>
          <w:rFonts w:ascii="Arial" w:hAnsi="Arial"/>
          <w:sz w:val="22"/>
          <w:vertAlign w:val="subscript"/>
        </w:rPr>
        <w:t xml:space="preserve">réf </w:t>
      </w:r>
      <w:r>
        <w:rPr>
          <w:rFonts w:ascii="Arial" w:hAnsi="Arial"/>
          <w:sz w:val="22"/>
        </w:rPr>
        <w:t>, à savoir 0,18 (morue), 0,26 (aiglefin) et 0,25 (limande à queue jaune), respectivement. Inclure un tableau illustrant les prises de 2015 qui correspondent à une probabilité faible (25 %), neutre (50 %) et élevée (75 %) que la mortalité par pêche dépasse la valeur F</w:t>
      </w:r>
      <w:r>
        <w:rPr>
          <w:rFonts w:ascii="Arial" w:hAnsi="Arial"/>
          <w:sz w:val="22"/>
          <w:vertAlign w:val="subscript"/>
        </w:rPr>
        <w:t>réf</w:t>
      </w:r>
      <w:r>
        <w:rPr>
          <w:rFonts w:ascii="Arial" w:hAnsi="Arial"/>
          <w:sz w:val="22"/>
        </w:rPr>
        <w:t xml:space="preserve">. </w:t>
      </w:r>
    </w:p>
    <w:p w:rsidR="000D7A3E" w:rsidRPr="00B22C9D" w:rsidRDefault="000D7A3E" w:rsidP="00A07C8D">
      <w:pPr>
        <w:autoSpaceDE w:val="0"/>
        <w:autoSpaceDN w:val="0"/>
        <w:adjustRightInd w:val="0"/>
        <w:ind w:left="360"/>
        <w:jc w:val="both"/>
        <w:rPr>
          <w:rFonts w:ascii="Arial" w:hAnsi="Arial" w:cs="Arial"/>
          <w:sz w:val="22"/>
          <w:szCs w:val="22"/>
        </w:rPr>
      </w:pPr>
    </w:p>
    <w:p w:rsidR="006901B4" w:rsidRPr="00B22C9D" w:rsidRDefault="008024BD" w:rsidP="006901B4">
      <w:pPr>
        <w:numPr>
          <w:ilvl w:val="0"/>
          <w:numId w:val="1"/>
        </w:numPr>
        <w:tabs>
          <w:tab w:val="clear" w:pos="720"/>
          <w:tab w:val="num" w:pos="360"/>
        </w:tabs>
        <w:ind w:left="360"/>
        <w:jc w:val="both"/>
        <w:rPr>
          <w:rFonts w:ascii="Arial" w:hAnsi="Arial" w:cs="Arial"/>
          <w:sz w:val="22"/>
          <w:szCs w:val="22"/>
        </w:rPr>
      </w:pPr>
      <w:r>
        <w:rPr>
          <w:rFonts w:ascii="Arial" w:hAnsi="Arial"/>
          <w:sz w:val="22"/>
        </w:rPr>
        <w:lastRenderedPageBreak/>
        <w:t>Pour un éventail de valeurs de prises totales de 2015, estimer le risque que la biomasse au début de 2016 n</w:t>
      </w:r>
      <w:r w:rsidR="00DE0C8C">
        <w:rPr>
          <w:rFonts w:ascii="Arial" w:hAnsi="Arial"/>
          <w:sz w:val="22"/>
        </w:rPr>
        <w:t>'</w:t>
      </w:r>
      <w:r>
        <w:rPr>
          <w:rFonts w:ascii="Arial" w:hAnsi="Arial"/>
          <w:sz w:val="22"/>
        </w:rPr>
        <w:t>atteigne pas une augmentation de 0 %, de 10 % ou de 20 % comparativement au début de 2015.</w:t>
      </w:r>
    </w:p>
    <w:p w:rsidR="006901B4" w:rsidRPr="00B22C9D" w:rsidRDefault="006901B4" w:rsidP="006901B4">
      <w:pPr>
        <w:jc w:val="both"/>
        <w:rPr>
          <w:rFonts w:ascii="Arial" w:hAnsi="Arial" w:cs="Arial"/>
          <w:sz w:val="22"/>
          <w:szCs w:val="22"/>
        </w:rPr>
      </w:pPr>
    </w:p>
    <w:p w:rsidR="006901B4" w:rsidRPr="00B22C9D" w:rsidRDefault="008024BD" w:rsidP="006901B4">
      <w:pPr>
        <w:numPr>
          <w:ilvl w:val="0"/>
          <w:numId w:val="1"/>
        </w:numPr>
        <w:tabs>
          <w:tab w:val="clear" w:pos="720"/>
          <w:tab w:val="num" w:pos="360"/>
        </w:tabs>
        <w:ind w:left="360"/>
        <w:jc w:val="both"/>
        <w:rPr>
          <w:rFonts w:ascii="Arial" w:hAnsi="Arial" w:cs="Arial"/>
          <w:sz w:val="22"/>
          <w:szCs w:val="22"/>
        </w:rPr>
      </w:pPr>
      <w:r>
        <w:rPr>
          <w:rFonts w:ascii="Arial" w:hAnsi="Arial"/>
          <w:sz w:val="22"/>
        </w:rPr>
        <w:t>Examiner la répartition de la biomasse relative à la frontière Canada-États-Unis, mettre à jour les résultats avec les renseignements du relevé de 2013 et appliquer la formule relative aux parts allouées.</w:t>
      </w:r>
    </w:p>
    <w:p w:rsidR="00D86209" w:rsidRPr="00B22C9D" w:rsidRDefault="00D86209" w:rsidP="00644083">
      <w:pPr>
        <w:pStyle w:val="ListParagraph"/>
        <w:ind w:left="0"/>
        <w:rPr>
          <w:rFonts w:ascii="Arial" w:hAnsi="Arial" w:cs="Arial"/>
          <w:sz w:val="22"/>
          <w:szCs w:val="22"/>
        </w:rPr>
      </w:pPr>
    </w:p>
    <w:p w:rsidR="00D86209" w:rsidRPr="00B22C9D" w:rsidRDefault="00025815" w:rsidP="00D86209">
      <w:pPr>
        <w:numPr>
          <w:ilvl w:val="0"/>
          <w:numId w:val="1"/>
        </w:numPr>
        <w:tabs>
          <w:tab w:val="clear" w:pos="720"/>
          <w:tab w:val="num" w:pos="360"/>
        </w:tabs>
        <w:ind w:left="360"/>
        <w:jc w:val="both"/>
        <w:rPr>
          <w:rFonts w:ascii="Arial" w:hAnsi="Arial" w:cs="Arial"/>
          <w:sz w:val="22"/>
          <w:szCs w:val="22"/>
        </w:rPr>
      </w:pPr>
      <w:r>
        <w:rPr>
          <w:rFonts w:ascii="Arial" w:hAnsi="Arial"/>
          <w:sz w:val="22"/>
        </w:rPr>
        <w:t>Déterminer d</w:t>
      </w:r>
      <w:r w:rsidR="00DE0C8C">
        <w:rPr>
          <w:rFonts w:ascii="Arial" w:hAnsi="Arial"/>
          <w:sz w:val="22"/>
        </w:rPr>
        <w:t>'</w:t>
      </w:r>
      <w:r>
        <w:rPr>
          <w:rFonts w:ascii="Arial" w:hAnsi="Arial"/>
          <w:sz w:val="22"/>
        </w:rPr>
        <w:t>autres points de référence liés à la pêche qui conviennent au modèle d</w:t>
      </w:r>
      <w:r w:rsidR="00DE0C8C">
        <w:rPr>
          <w:rFonts w:ascii="Arial" w:hAnsi="Arial"/>
          <w:sz w:val="22"/>
        </w:rPr>
        <w:t>'</w:t>
      </w:r>
      <w:r>
        <w:rPr>
          <w:rFonts w:ascii="Arial" w:hAnsi="Arial"/>
          <w:sz w:val="22"/>
        </w:rPr>
        <w:t>analyse de population virtuelle de la morue (M=0,8).</w:t>
      </w:r>
    </w:p>
    <w:p w:rsidR="00D86209" w:rsidRPr="00B22C9D" w:rsidRDefault="00D86209" w:rsidP="00644083">
      <w:pPr>
        <w:jc w:val="both"/>
        <w:rPr>
          <w:rFonts w:ascii="Arial" w:hAnsi="Arial" w:cs="Arial"/>
          <w:sz w:val="22"/>
          <w:szCs w:val="22"/>
        </w:rPr>
      </w:pPr>
    </w:p>
    <w:p w:rsidR="00FF765E" w:rsidRPr="00B22C9D" w:rsidRDefault="007B4C41" w:rsidP="007965F3">
      <w:pPr>
        <w:numPr>
          <w:ilvl w:val="0"/>
          <w:numId w:val="1"/>
        </w:numPr>
        <w:tabs>
          <w:tab w:val="clear" w:pos="720"/>
          <w:tab w:val="num" w:pos="360"/>
        </w:tabs>
        <w:ind w:left="360"/>
        <w:jc w:val="both"/>
        <w:rPr>
          <w:rFonts w:ascii="Arial" w:hAnsi="Arial" w:cs="Arial"/>
          <w:sz w:val="22"/>
          <w:szCs w:val="22"/>
        </w:rPr>
      </w:pPr>
      <w:r>
        <w:rPr>
          <w:rFonts w:ascii="Arial" w:hAnsi="Arial"/>
          <w:sz w:val="22"/>
        </w:rPr>
        <w:t>Pour la limande à queue jaune, si l</w:t>
      </w:r>
      <w:r w:rsidR="00DE0C8C">
        <w:rPr>
          <w:rFonts w:ascii="Arial" w:hAnsi="Arial"/>
          <w:sz w:val="22"/>
        </w:rPr>
        <w:t>'</w:t>
      </w:r>
      <w:r>
        <w:rPr>
          <w:rFonts w:ascii="Arial" w:hAnsi="Arial"/>
          <w:sz w:val="22"/>
        </w:rPr>
        <w:t>approche empirique de référence liée à la limande à queue jaune du banc de Georges le recommande, fournir des conseils en matière de prises qui sont conformes aux valeurs de référence liées à la mortalité par pêche nouvellement définies et élaborées pour une approche empirique (à noter que toute modification de la valeur F</w:t>
      </w:r>
      <w:r>
        <w:rPr>
          <w:rFonts w:ascii="Arial" w:hAnsi="Arial"/>
          <w:sz w:val="22"/>
          <w:vertAlign w:val="subscript"/>
        </w:rPr>
        <w:t>réf</w:t>
      </w:r>
      <w:r>
        <w:rPr>
          <w:rFonts w:ascii="Arial" w:hAnsi="Arial"/>
          <w:sz w:val="22"/>
        </w:rPr>
        <w:t xml:space="preserve"> utilisée pour fournir des conseils en matière de prises doit être négociée), puis résumer tous les renseignements accessibles qui ont été utilisés pour fournir des recommandations de conseils en matière de prises.</w:t>
      </w:r>
    </w:p>
    <w:p w:rsidR="007B653F" w:rsidRPr="00B22C9D" w:rsidRDefault="007B653F" w:rsidP="006F2CDA">
      <w:pPr>
        <w:jc w:val="both"/>
        <w:rPr>
          <w:rFonts w:ascii="Arial" w:hAnsi="Arial" w:cs="Arial"/>
          <w:sz w:val="22"/>
          <w:szCs w:val="22"/>
        </w:rPr>
      </w:pPr>
    </w:p>
    <w:p w:rsidR="007B653F" w:rsidRPr="00B22C9D" w:rsidRDefault="007B653F" w:rsidP="007B653F">
      <w:pPr>
        <w:numPr>
          <w:ilvl w:val="0"/>
          <w:numId w:val="1"/>
        </w:numPr>
        <w:tabs>
          <w:tab w:val="clear" w:pos="720"/>
          <w:tab w:val="num" w:pos="360"/>
        </w:tabs>
        <w:ind w:left="360"/>
        <w:jc w:val="both"/>
        <w:rPr>
          <w:rFonts w:ascii="Arial" w:hAnsi="Arial" w:cs="Arial"/>
          <w:sz w:val="22"/>
          <w:szCs w:val="22"/>
        </w:rPr>
      </w:pPr>
      <w:r>
        <w:rPr>
          <w:rFonts w:ascii="Arial" w:hAnsi="Arial"/>
          <w:sz w:val="22"/>
        </w:rPr>
        <w:t>Élaborer un cadre de référence provisoire pour l</w:t>
      </w:r>
      <w:r w:rsidR="00DE0C8C">
        <w:rPr>
          <w:rFonts w:ascii="Arial" w:hAnsi="Arial"/>
          <w:sz w:val="22"/>
        </w:rPr>
        <w:t>'</w:t>
      </w:r>
      <w:r>
        <w:rPr>
          <w:rFonts w:ascii="Arial" w:hAnsi="Arial"/>
          <w:sz w:val="22"/>
        </w:rPr>
        <w:t>évaluation de 2015 de la morue, de l</w:t>
      </w:r>
      <w:r w:rsidR="00DE0C8C">
        <w:rPr>
          <w:rFonts w:ascii="Arial" w:hAnsi="Arial"/>
          <w:sz w:val="22"/>
        </w:rPr>
        <w:t>'</w:t>
      </w:r>
      <w:r>
        <w:rPr>
          <w:rFonts w:ascii="Arial" w:hAnsi="Arial"/>
          <w:sz w:val="22"/>
        </w:rPr>
        <w:t>aiglefin et de la limande à queue jaune par le Comité d</w:t>
      </w:r>
      <w:r w:rsidR="00DE0C8C">
        <w:rPr>
          <w:rFonts w:ascii="Arial" w:hAnsi="Arial"/>
          <w:sz w:val="22"/>
        </w:rPr>
        <w:t>'</w:t>
      </w:r>
      <w:r>
        <w:rPr>
          <w:rFonts w:ascii="Arial" w:hAnsi="Arial"/>
          <w:sz w:val="22"/>
        </w:rPr>
        <w:t xml:space="preserve">évaluation des ressources transfrontalières. </w:t>
      </w:r>
    </w:p>
    <w:p w:rsidR="00B10678" w:rsidRPr="00B22C9D" w:rsidRDefault="00B10678" w:rsidP="00644083">
      <w:pPr>
        <w:pStyle w:val="ListParagraph"/>
        <w:ind w:left="0"/>
        <w:rPr>
          <w:rFonts w:ascii="Arial" w:hAnsi="Arial" w:cs="Arial"/>
          <w:sz w:val="22"/>
          <w:szCs w:val="22"/>
        </w:rPr>
      </w:pPr>
    </w:p>
    <w:p w:rsidR="006901B4" w:rsidRPr="00B22C9D" w:rsidRDefault="006901B4" w:rsidP="006901B4">
      <w:pPr>
        <w:numPr>
          <w:ilvl w:val="0"/>
          <w:numId w:val="1"/>
        </w:numPr>
        <w:tabs>
          <w:tab w:val="clear" w:pos="720"/>
          <w:tab w:val="num" w:pos="360"/>
        </w:tabs>
        <w:ind w:left="360"/>
        <w:jc w:val="both"/>
        <w:rPr>
          <w:rFonts w:ascii="Arial" w:hAnsi="Arial" w:cs="Arial"/>
          <w:sz w:val="22"/>
          <w:szCs w:val="22"/>
        </w:rPr>
      </w:pPr>
      <w:r>
        <w:rPr>
          <w:rFonts w:ascii="Arial" w:hAnsi="Arial"/>
          <w:sz w:val="22"/>
        </w:rPr>
        <w:t>Autres sujets.</w:t>
      </w:r>
    </w:p>
    <w:p w:rsidR="00F32F4E" w:rsidRPr="00B22C9D" w:rsidRDefault="00F32F4E" w:rsidP="00644083">
      <w:pPr>
        <w:pStyle w:val="ListParagraph"/>
        <w:ind w:left="0"/>
        <w:rPr>
          <w:rFonts w:ascii="Arial" w:hAnsi="Arial" w:cs="Arial"/>
          <w:sz w:val="22"/>
          <w:szCs w:val="22"/>
        </w:rPr>
      </w:pPr>
    </w:p>
    <w:p w:rsidR="00F32F4E" w:rsidRPr="00B22C9D" w:rsidRDefault="00F32F4E" w:rsidP="00644083">
      <w:pPr>
        <w:jc w:val="both"/>
        <w:rPr>
          <w:rFonts w:ascii="Arial" w:hAnsi="Arial" w:cs="Arial"/>
          <w:sz w:val="22"/>
          <w:szCs w:val="22"/>
        </w:rPr>
      </w:pPr>
    </w:p>
    <w:p w:rsidR="006901B4" w:rsidRPr="00B22C9D" w:rsidRDefault="006901B4" w:rsidP="006901B4">
      <w:pPr>
        <w:jc w:val="both"/>
        <w:rPr>
          <w:rFonts w:ascii="Arial" w:hAnsi="Arial" w:cs="Arial"/>
          <w:b/>
          <w:sz w:val="22"/>
          <w:szCs w:val="22"/>
        </w:rPr>
      </w:pPr>
      <w:r>
        <w:rPr>
          <w:rFonts w:ascii="Arial" w:hAnsi="Arial"/>
          <w:b/>
          <w:sz w:val="22"/>
        </w:rPr>
        <w:t>Publications prévues</w:t>
      </w:r>
    </w:p>
    <w:p w:rsidR="006901B4" w:rsidRPr="00B22C9D" w:rsidRDefault="006901B4" w:rsidP="006901B4">
      <w:pPr>
        <w:jc w:val="both"/>
        <w:rPr>
          <w:rFonts w:ascii="Arial" w:hAnsi="Arial" w:cs="Arial"/>
          <w:sz w:val="22"/>
          <w:szCs w:val="22"/>
        </w:rPr>
      </w:pPr>
    </w:p>
    <w:p w:rsidR="006901B4" w:rsidRPr="00B22C9D" w:rsidRDefault="006901B4" w:rsidP="006901B4">
      <w:pPr>
        <w:jc w:val="both"/>
        <w:rPr>
          <w:rFonts w:ascii="Arial" w:hAnsi="Arial" w:cs="Arial"/>
          <w:sz w:val="22"/>
          <w:szCs w:val="22"/>
        </w:rPr>
      </w:pPr>
      <w:r>
        <w:rPr>
          <w:rFonts w:ascii="Arial" w:hAnsi="Arial"/>
          <w:sz w:val="22"/>
        </w:rPr>
        <w:t>Comité d</w:t>
      </w:r>
      <w:r w:rsidR="00DE0C8C">
        <w:rPr>
          <w:rFonts w:ascii="Arial" w:hAnsi="Arial"/>
          <w:sz w:val="22"/>
        </w:rPr>
        <w:t>'</w:t>
      </w:r>
      <w:r>
        <w:rPr>
          <w:rFonts w:ascii="Arial" w:hAnsi="Arial"/>
          <w:sz w:val="22"/>
        </w:rPr>
        <w:t>évaluation des ressources transfrontalières – Rapport sur l</w:t>
      </w:r>
      <w:r w:rsidR="00DE0C8C">
        <w:rPr>
          <w:rFonts w:ascii="Arial" w:hAnsi="Arial"/>
          <w:sz w:val="22"/>
        </w:rPr>
        <w:t>'</w:t>
      </w:r>
      <w:r>
        <w:rPr>
          <w:rFonts w:ascii="Arial" w:hAnsi="Arial"/>
          <w:sz w:val="22"/>
        </w:rPr>
        <w:t>état des stocks transfrontaliers de morue et d</w:t>
      </w:r>
      <w:r w:rsidR="00DE0C8C">
        <w:rPr>
          <w:rFonts w:ascii="Arial" w:hAnsi="Arial"/>
          <w:sz w:val="22"/>
        </w:rPr>
        <w:t>'</w:t>
      </w:r>
      <w:r>
        <w:rPr>
          <w:rFonts w:ascii="Arial" w:hAnsi="Arial"/>
          <w:sz w:val="22"/>
        </w:rPr>
        <w:t>aiglefin de l</w:t>
      </w:r>
      <w:r w:rsidR="00DE0C8C">
        <w:rPr>
          <w:rFonts w:ascii="Arial" w:hAnsi="Arial"/>
          <w:sz w:val="22"/>
        </w:rPr>
        <w:t>'</w:t>
      </w:r>
      <w:r>
        <w:rPr>
          <w:rFonts w:ascii="Arial" w:hAnsi="Arial"/>
          <w:sz w:val="22"/>
        </w:rPr>
        <w:t>est du banc de Georges et de limande à queue jaune du banc de Georges (zones de gestion)</w:t>
      </w:r>
    </w:p>
    <w:p w:rsidR="006901B4" w:rsidRPr="00B22C9D" w:rsidRDefault="006901B4" w:rsidP="006901B4">
      <w:pPr>
        <w:jc w:val="both"/>
        <w:rPr>
          <w:rFonts w:ascii="Arial" w:hAnsi="Arial" w:cs="Arial"/>
          <w:sz w:val="22"/>
          <w:szCs w:val="22"/>
        </w:rPr>
      </w:pPr>
      <w:r>
        <w:rPr>
          <w:rFonts w:ascii="Arial" w:hAnsi="Arial"/>
          <w:sz w:val="22"/>
        </w:rPr>
        <w:t>Documents de référence du Comité d</w:t>
      </w:r>
      <w:r w:rsidR="00DE0C8C">
        <w:rPr>
          <w:rFonts w:ascii="Arial" w:hAnsi="Arial"/>
          <w:sz w:val="22"/>
        </w:rPr>
        <w:t>'</w:t>
      </w:r>
      <w:r>
        <w:rPr>
          <w:rFonts w:ascii="Arial" w:hAnsi="Arial"/>
          <w:sz w:val="22"/>
        </w:rPr>
        <w:t>évaluation des ressources transfrontalières sur les zones de gestion de la morue et de l</w:t>
      </w:r>
      <w:r w:rsidR="00DE0C8C">
        <w:rPr>
          <w:rFonts w:ascii="Arial" w:hAnsi="Arial"/>
          <w:sz w:val="22"/>
        </w:rPr>
        <w:t>'</w:t>
      </w:r>
      <w:r>
        <w:rPr>
          <w:rFonts w:ascii="Arial" w:hAnsi="Arial"/>
          <w:sz w:val="22"/>
        </w:rPr>
        <w:t>aiglefin de l</w:t>
      </w:r>
      <w:r w:rsidR="00DE0C8C">
        <w:rPr>
          <w:rFonts w:ascii="Arial" w:hAnsi="Arial"/>
          <w:sz w:val="22"/>
        </w:rPr>
        <w:t>'</w:t>
      </w:r>
      <w:r>
        <w:rPr>
          <w:rFonts w:ascii="Arial" w:hAnsi="Arial"/>
          <w:sz w:val="22"/>
        </w:rPr>
        <w:t>est du banc de Georges et de la limande à queue jaune du banc de Georges et sur les parts allouées</w:t>
      </w:r>
    </w:p>
    <w:p w:rsidR="006901B4" w:rsidRPr="00B22C9D" w:rsidRDefault="006901B4" w:rsidP="006901B4">
      <w:pPr>
        <w:jc w:val="both"/>
        <w:rPr>
          <w:rFonts w:ascii="Arial" w:hAnsi="Arial" w:cs="Arial"/>
          <w:sz w:val="22"/>
          <w:szCs w:val="22"/>
        </w:rPr>
      </w:pPr>
      <w:r>
        <w:rPr>
          <w:rFonts w:ascii="Arial" w:hAnsi="Arial"/>
          <w:sz w:val="22"/>
        </w:rPr>
        <w:t>Compte rendu des discussions ouvertes par le Comité d</w:t>
      </w:r>
      <w:r w:rsidR="00DE0C8C">
        <w:rPr>
          <w:rFonts w:ascii="Arial" w:hAnsi="Arial"/>
          <w:sz w:val="22"/>
        </w:rPr>
        <w:t>'</w:t>
      </w:r>
      <w:r>
        <w:rPr>
          <w:rFonts w:ascii="Arial" w:hAnsi="Arial"/>
          <w:sz w:val="22"/>
        </w:rPr>
        <w:t>évaluation des ressources transfrontalières durant ses réunions</w:t>
      </w:r>
    </w:p>
    <w:p w:rsidR="00C36BFC" w:rsidRPr="00B22C9D" w:rsidRDefault="00C36BFC" w:rsidP="006901B4">
      <w:pPr>
        <w:jc w:val="both"/>
        <w:rPr>
          <w:rFonts w:ascii="Arial" w:hAnsi="Arial" w:cs="Arial"/>
          <w:sz w:val="22"/>
          <w:szCs w:val="22"/>
        </w:rPr>
      </w:pPr>
    </w:p>
    <w:p w:rsidR="006901B4" w:rsidRPr="00B22C9D" w:rsidRDefault="006901B4" w:rsidP="006901B4">
      <w:pPr>
        <w:jc w:val="both"/>
        <w:rPr>
          <w:rFonts w:ascii="Arial" w:hAnsi="Arial" w:cs="Arial"/>
          <w:b/>
          <w:sz w:val="22"/>
          <w:szCs w:val="22"/>
        </w:rPr>
      </w:pPr>
      <w:bookmarkStart w:id="0" w:name="_GoBack"/>
      <w:bookmarkEnd w:id="0"/>
    </w:p>
    <w:p w:rsidR="006901B4" w:rsidRPr="00B22C9D" w:rsidRDefault="006901B4" w:rsidP="006901B4">
      <w:pPr>
        <w:jc w:val="both"/>
        <w:rPr>
          <w:rFonts w:ascii="Arial" w:hAnsi="Arial" w:cs="Arial"/>
          <w:b/>
          <w:sz w:val="22"/>
          <w:szCs w:val="22"/>
        </w:rPr>
      </w:pPr>
      <w:r>
        <w:rPr>
          <w:rFonts w:ascii="Arial" w:hAnsi="Arial"/>
          <w:b/>
          <w:sz w:val="22"/>
        </w:rPr>
        <w:t>Participants</w:t>
      </w:r>
    </w:p>
    <w:p w:rsidR="006901B4" w:rsidRPr="00B22C9D" w:rsidRDefault="006901B4" w:rsidP="006901B4">
      <w:pPr>
        <w:jc w:val="both"/>
        <w:rPr>
          <w:rFonts w:ascii="Arial" w:hAnsi="Arial" w:cs="Arial"/>
          <w:sz w:val="22"/>
          <w:szCs w:val="22"/>
        </w:rPr>
      </w:pPr>
    </w:p>
    <w:p w:rsidR="006901B4" w:rsidRPr="00B22C9D" w:rsidRDefault="006901B4" w:rsidP="006901B4">
      <w:pPr>
        <w:jc w:val="both"/>
        <w:rPr>
          <w:rFonts w:ascii="Arial" w:hAnsi="Arial" w:cs="Arial"/>
          <w:sz w:val="22"/>
          <w:szCs w:val="22"/>
        </w:rPr>
      </w:pPr>
      <w:r>
        <w:rPr>
          <w:rFonts w:ascii="Arial" w:hAnsi="Arial"/>
          <w:sz w:val="22"/>
        </w:rPr>
        <w:t>Travailleurs scientifiques et gestionnaires du MPO, région des Maritimes</w:t>
      </w:r>
    </w:p>
    <w:p w:rsidR="006901B4" w:rsidRPr="00B22C9D" w:rsidRDefault="006901B4" w:rsidP="006901B4">
      <w:pPr>
        <w:jc w:val="both"/>
        <w:rPr>
          <w:rFonts w:ascii="Arial" w:hAnsi="Arial" w:cs="Arial"/>
          <w:sz w:val="22"/>
          <w:szCs w:val="22"/>
        </w:rPr>
      </w:pPr>
      <w:r>
        <w:rPr>
          <w:rFonts w:ascii="Arial" w:hAnsi="Arial"/>
          <w:sz w:val="22"/>
        </w:rPr>
        <w:t>Travailleurs scientifiques et gestionnaires de la région du nord-est, National Marine Fisheries Service</w:t>
      </w:r>
    </w:p>
    <w:p w:rsidR="006901B4" w:rsidRPr="00B22C9D" w:rsidRDefault="006901B4" w:rsidP="006901B4">
      <w:pPr>
        <w:jc w:val="both"/>
        <w:rPr>
          <w:rFonts w:ascii="Arial" w:hAnsi="Arial" w:cs="Arial"/>
          <w:sz w:val="22"/>
          <w:szCs w:val="22"/>
        </w:rPr>
      </w:pPr>
      <w:r>
        <w:rPr>
          <w:rFonts w:ascii="Arial" w:hAnsi="Arial"/>
          <w:sz w:val="22"/>
        </w:rPr>
        <w:t>Industrie des pêches du Canada et des États-Unis</w:t>
      </w:r>
    </w:p>
    <w:p w:rsidR="006901B4" w:rsidRPr="00B22C9D" w:rsidRDefault="006901B4" w:rsidP="006901B4">
      <w:pPr>
        <w:jc w:val="both"/>
        <w:rPr>
          <w:rFonts w:ascii="Arial" w:hAnsi="Arial" w:cs="Arial"/>
          <w:sz w:val="22"/>
          <w:szCs w:val="22"/>
        </w:rPr>
      </w:pPr>
      <w:r>
        <w:rPr>
          <w:rFonts w:ascii="Arial" w:hAnsi="Arial"/>
          <w:sz w:val="22"/>
        </w:rPr>
        <w:t xml:space="preserve">Représentants des États-Unis et de provinces canadiennes (Nouveau-Brunswick et Nouvelle-Écosse) </w:t>
      </w:r>
    </w:p>
    <w:p w:rsidR="006901B4" w:rsidRPr="00B22C9D" w:rsidRDefault="006901B4" w:rsidP="006901B4">
      <w:pPr>
        <w:jc w:val="both"/>
        <w:rPr>
          <w:sz w:val="22"/>
          <w:szCs w:val="22"/>
        </w:rPr>
      </w:pPr>
      <w:r>
        <w:rPr>
          <w:rFonts w:ascii="Arial" w:hAnsi="Arial"/>
          <w:sz w:val="22"/>
        </w:rPr>
        <w:t>Représentants du New England Fishery Management Council</w:t>
      </w:r>
    </w:p>
    <w:p w:rsidR="006901B4" w:rsidRPr="00B22C9D" w:rsidRDefault="006901B4" w:rsidP="006901B4">
      <w:pPr>
        <w:jc w:val="both"/>
        <w:rPr>
          <w:rFonts w:ascii="Arial" w:hAnsi="Arial" w:cs="Arial"/>
          <w:sz w:val="22"/>
          <w:szCs w:val="22"/>
        </w:rPr>
      </w:pPr>
      <w:r>
        <w:rPr>
          <w:rFonts w:ascii="Arial" w:hAnsi="Arial"/>
          <w:sz w:val="22"/>
        </w:rPr>
        <w:t>Représentants du comité des sciences et des statistiques</w:t>
      </w:r>
    </w:p>
    <w:p w:rsidR="001D40E3" w:rsidRPr="00B22C9D" w:rsidRDefault="00644083"/>
    <w:sectPr w:rsidR="001D40E3" w:rsidRPr="00B22C9D" w:rsidSect="00901DB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2C9D" w:rsidRPr="00B22C9D" w:rsidRDefault="00B22C9D" w:rsidP="00B22C9D">
      <w:r w:rsidRPr="00B22C9D">
        <w:separator/>
      </w:r>
    </w:p>
  </w:endnote>
  <w:endnote w:type="continuationSeparator" w:id="0">
    <w:p w:rsidR="00B22C9D" w:rsidRPr="00B22C9D" w:rsidRDefault="00B22C9D" w:rsidP="00B22C9D">
      <w:r w:rsidRPr="00B22C9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2C9D" w:rsidRPr="00B22C9D" w:rsidRDefault="00B22C9D" w:rsidP="00B22C9D">
      <w:r w:rsidRPr="00B22C9D">
        <w:separator/>
      </w:r>
    </w:p>
  </w:footnote>
  <w:footnote w:type="continuationSeparator" w:id="0">
    <w:p w:rsidR="00B22C9D" w:rsidRPr="00B22C9D" w:rsidRDefault="00B22C9D" w:rsidP="00B22C9D">
      <w:r w:rsidRPr="00B22C9D">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59D4"/>
    <w:multiLevelType w:val="hybridMultilevel"/>
    <w:tmpl w:val="B0704D6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668D023D"/>
    <w:multiLevelType w:val="hybridMultilevel"/>
    <w:tmpl w:val="9732E26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1B4"/>
    <w:rsid w:val="00025815"/>
    <w:rsid w:val="00026B14"/>
    <w:rsid w:val="000862C7"/>
    <w:rsid w:val="000A31FE"/>
    <w:rsid w:val="000B4172"/>
    <w:rsid w:val="000D7A3E"/>
    <w:rsid w:val="000F7621"/>
    <w:rsid w:val="001501D8"/>
    <w:rsid w:val="00155431"/>
    <w:rsid w:val="00194138"/>
    <w:rsid w:val="001A302F"/>
    <w:rsid w:val="001B5963"/>
    <w:rsid w:val="001B707A"/>
    <w:rsid w:val="001F6AAB"/>
    <w:rsid w:val="002117ED"/>
    <w:rsid w:val="00222ECB"/>
    <w:rsid w:val="00225C1C"/>
    <w:rsid w:val="00237FB1"/>
    <w:rsid w:val="002437A1"/>
    <w:rsid w:val="00243943"/>
    <w:rsid w:val="002910F7"/>
    <w:rsid w:val="002C1557"/>
    <w:rsid w:val="0030124B"/>
    <w:rsid w:val="00303FB5"/>
    <w:rsid w:val="00304E29"/>
    <w:rsid w:val="003115C9"/>
    <w:rsid w:val="0031768C"/>
    <w:rsid w:val="00347E5C"/>
    <w:rsid w:val="00384494"/>
    <w:rsid w:val="00385604"/>
    <w:rsid w:val="00390636"/>
    <w:rsid w:val="003D2995"/>
    <w:rsid w:val="003F7CFF"/>
    <w:rsid w:val="00433E8A"/>
    <w:rsid w:val="00466E71"/>
    <w:rsid w:val="004758CE"/>
    <w:rsid w:val="004910AE"/>
    <w:rsid w:val="004A1692"/>
    <w:rsid w:val="004A4BCE"/>
    <w:rsid w:val="004D60D2"/>
    <w:rsid w:val="0051254D"/>
    <w:rsid w:val="00552104"/>
    <w:rsid w:val="0056227E"/>
    <w:rsid w:val="00563252"/>
    <w:rsid w:val="005A654F"/>
    <w:rsid w:val="005B27BD"/>
    <w:rsid w:val="005D7305"/>
    <w:rsid w:val="005D7959"/>
    <w:rsid w:val="005D7AC7"/>
    <w:rsid w:val="006323C0"/>
    <w:rsid w:val="00644083"/>
    <w:rsid w:val="00645A8E"/>
    <w:rsid w:val="006638CE"/>
    <w:rsid w:val="00683CF5"/>
    <w:rsid w:val="006901B4"/>
    <w:rsid w:val="00690670"/>
    <w:rsid w:val="00691A81"/>
    <w:rsid w:val="006D3351"/>
    <w:rsid w:val="006D652B"/>
    <w:rsid w:val="006F232C"/>
    <w:rsid w:val="006F2CDA"/>
    <w:rsid w:val="00717720"/>
    <w:rsid w:val="00772EBF"/>
    <w:rsid w:val="00783272"/>
    <w:rsid w:val="007965F3"/>
    <w:rsid w:val="007B4C41"/>
    <w:rsid w:val="007B653F"/>
    <w:rsid w:val="007F1D72"/>
    <w:rsid w:val="007F2F44"/>
    <w:rsid w:val="007F5495"/>
    <w:rsid w:val="007F553D"/>
    <w:rsid w:val="008024BD"/>
    <w:rsid w:val="008801DD"/>
    <w:rsid w:val="00891AFC"/>
    <w:rsid w:val="00897D8B"/>
    <w:rsid w:val="008A51EC"/>
    <w:rsid w:val="008C2523"/>
    <w:rsid w:val="008D648D"/>
    <w:rsid w:val="008D7482"/>
    <w:rsid w:val="00901DB4"/>
    <w:rsid w:val="0096182D"/>
    <w:rsid w:val="00966349"/>
    <w:rsid w:val="009730A6"/>
    <w:rsid w:val="009B0376"/>
    <w:rsid w:val="009B382E"/>
    <w:rsid w:val="009E0D7B"/>
    <w:rsid w:val="009F0F78"/>
    <w:rsid w:val="00A07C8D"/>
    <w:rsid w:val="00A63E9A"/>
    <w:rsid w:val="00AA0201"/>
    <w:rsid w:val="00AC2C73"/>
    <w:rsid w:val="00AF0710"/>
    <w:rsid w:val="00AF11C3"/>
    <w:rsid w:val="00B10678"/>
    <w:rsid w:val="00B22C9D"/>
    <w:rsid w:val="00B31B17"/>
    <w:rsid w:val="00B978F8"/>
    <w:rsid w:val="00BB51ED"/>
    <w:rsid w:val="00BD3A6C"/>
    <w:rsid w:val="00C02130"/>
    <w:rsid w:val="00C04607"/>
    <w:rsid w:val="00C23548"/>
    <w:rsid w:val="00C36BFC"/>
    <w:rsid w:val="00C456EC"/>
    <w:rsid w:val="00C60EA3"/>
    <w:rsid w:val="00CB6553"/>
    <w:rsid w:val="00D270EC"/>
    <w:rsid w:val="00D67354"/>
    <w:rsid w:val="00D86209"/>
    <w:rsid w:val="00DA6BC3"/>
    <w:rsid w:val="00DD034C"/>
    <w:rsid w:val="00DE0C8C"/>
    <w:rsid w:val="00DF21D5"/>
    <w:rsid w:val="00DF29BA"/>
    <w:rsid w:val="00E1317A"/>
    <w:rsid w:val="00E1477B"/>
    <w:rsid w:val="00E50874"/>
    <w:rsid w:val="00E805BD"/>
    <w:rsid w:val="00E95C3E"/>
    <w:rsid w:val="00EC7820"/>
    <w:rsid w:val="00ED404C"/>
    <w:rsid w:val="00EE4412"/>
    <w:rsid w:val="00EF48E1"/>
    <w:rsid w:val="00F00BDE"/>
    <w:rsid w:val="00F23143"/>
    <w:rsid w:val="00F25788"/>
    <w:rsid w:val="00F32F4E"/>
    <w:rsid w:val="00F35AE1"/>
    <w:rsid w:val="00F44A16"/>
    <w:rsid w:val="00F50C94"/>
    <w:rsid w:val="00F647AA"/>
    <w:rsid w:val="00F76C05"/>
    <w:rsid w:val="00F80C47"/>
    <w:rsid w:val="00FA220D"/>
    <w:rsid w:val="00FA40EB"/>
    <w:rsid w:val="00FA6C3A"/>
    <w:rsid w:val="00FB29EE"/>
    <w:rsid w:val="00FB56E1"/>
    <w:rsid w:val="00FD43AE"/>
    <w:rsid w:val="00FE4A1D"/>
    <w:rsid w:val="00FF130F"/>
    <w:rsid w:val="00FF6314"/>
    <w:rsid w:val="00FF7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1B4"/>
    <w:pPr>
      <w:spacing w:after="0" w:line="240" w:lineRule="auto"/>
    </w:pPr>
    <w:rPr>
      <w:rFonts w:ascii="Times New Roman" w:eastAsia="Times New Roman" w:hAnsi="Times New Roman" w:cs="Times New Roman"/>
      <w:sz w:val="24"/>
      <w:szCs w:val="20"/>
    </w:rPr>
  </w:style>
  <w:style w:type="paragraph" w:styleId="Heading3">
    <w:name w:val="heading 3"/>
    <w:basedOn w:val="Normal"/>
    <w:next w:val="Normal"/>
    <w:link w:val="Heading3Char"/>
    <w:qFormat/>
    <w:rsid w:val="006901B4"/>
    <w:pPr>
      <w:keepNext/>
      <w:spacing w:before="120" w:after="60"/>
      <w:outlineLvl w:val="2"/>
    </w:pPr>
    <w:rPr>
      <w:rFonts w:cs="Arial"/>
      <w:b/>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6901B4"/>
    <w:rPr>
      <w:rFonts w:ascii="Times New Roman" w:eastAsia="Times New Roman" w:hAnsi="Times New Roman" w:cs="Arial"/>
      <w:b/>
      <w:bCs/>
      <w:i/>
      <w:sz w:val="24"/>
      <w:szCs w:val="26"/>
    </w:rPr>
  </w:style>
  <w:style w:type="paragraph" w:styleId="Title">
    <w:name w:val="Title"/>
    <w:aliases w:val=" Char"/>
    <w:basedOn w:val="Normal"/>
    <w:link w:val="TitleChar"/>
    <w:qFormat/>
    <w:rsid w:val="006901B4"/>
    <w:pPr>
      <w:jc w:val="center"/>
    </w:pPr>
    <w:rPr>
      <w:b/>
      <w:sz w:val="28"/>
    </w:rPr>
  </w:style>
  <w:style w:type="character" w:customStyle="1" w:styleId="TitleChar">
    <w:name w:val="Title Char"/>
    <w:aliases w:val=" Char Char"/>
    <w:basedOn w:val="DefaultParagraphFont"/>
    <w:link w:val="Title"/>
    <w:rsid w:val="006901B4"/>
    <w:rPr>
      <w:rFonts w:ascii="Times New Roman" w:eastAsia="Times New Roman" w:hAnsi="Times New Roman" w:cs="Times New Roman"/>
      <w:b/>
      <w:sz w:val="28"/>
      <w:szCs w:val="20"/>
    </w:rPr>
  </w:style>
  <w:style w:type="paragraph" w:styleId="ListParagraph">
    <w:name w:val="List Paragraph"/>
    <w:basedOn w:val="Normal"/>
    <w:uiPriority w:val="34"/>
    <w:qFormat/>
    <w:rsid w:val="00F32F4E"/>
    <w:pPr>
      <w:ind w:left="720"/>
      <w:contextualSpacing/>
    </w:pPr>
  </w:style>
  <w:style w:type="paragraph" w:styleId="BalloonText">
    <w:name w:val="Balloon Text"/>
    <w:basedOn w:val="Normal"/>
    <w:link w:val="BalloonTextChar"/>
    <w:uiPriority w:val="99"/>
    <w:semiHidden/>
    <w:unhideWhenUsed/>
    <w:rsid w:val="00F23143"/>
    <w:rPr>
      <w:rFonts w:ascii="Tahoma" w:hAnsi="Tahoma" w:cs="Tahoma"/>
      <w:sz w:val="16"/>
      <w:szCs w:val="16"/>
    </w:rPr>
  </w:style>
  <w:style w:type="character" w:customStyle="1" w:styleId="BalloonTextChar">
    <w:name w:val="Balloon Text Char"/>
    <w:basedOn w:val="DefaultParagraphFont"/>
    <w:link w:val="BalloonText"/>
    <w:uiPriority w:val="99"/>
    <w:semiHidden/>
    <w:rsid w:val="00F23143"/>
    <w:rPr>
      <w:rFonts w:ascii="Tahoma" w:eastAsia="Times New Roman" w:hAnsi="Tahoma" w:cs="Tahoma"/>
      <w:sz w:val="16"/>
      <w:szCs w:val="16"/>
    </w:rPr>
  </w:style>
  <w:style w:type="paragraph" w:styleId="Header">
    <w:name w:val="header"/>
    <w:basedOn w:val="Normal"/>
    <w:link w:val="HeaderChar"/>
    <w:uiPriority w:val="99"/>
    <w:semiHidden/>
    <w:unhideWhenUsed/>
    <w:rsid w:val="00B22C9D"/>
    <w:pPr>
      <w:tabs>
        <w:tab w:val="center" w:pos="4680"/>
        <w:tab w:val="right" w:pos="9360"/>
      </w:tabs>
    </w:pPr>
  </w:style>
  <w:style w:type="character" w:customStyle="1" w:styleId="HeaderChar">
    <w:name w:val="Header Char"/>
    <w:basedOn w:val="DefaultParagraphFont"/>
    <w:link w:val="Header"/>
    <w:uiPriority w:val="99"/>
    <w:semiHidden/>
    <w:rsid w:val="00B22C9D"/>
    <w:rPr>
      <w:rFonts w:ascii="Times New Roman" w:eastAsia="Times New Roman" w:hAnsi="Times New Roman" w:cs="Times New Roman"/>
      <w:sz w:val="24"/>
      <w:szCs w:val="20"/>
    </w:rPr>
  </w:style>
  <w:style w:type="paragraph" w:styleId="Footer">
    <w:name w:val="footer"/>
    <w:basedOn w:val="Normal"/>
    <w:link w:val="FooterChar"/>
    <w:uiPriority w:val="99"/>
    <w:semiHidden/>
    <w:unhideWhenUsed/>
    <w:rsid w:val="00B22C9D"/>
    <w:pPr>
      <w:tabs>
        <w:tab w:val="center" w:pos="4680"/>
        <w:tab w:val="right" w:pos="9360"/>
      </w:tabs>
    </w:pPr>
  </w:style>
  <w:style w:type="character" w:customStyle="1" w:styleId="FooterChar">
    <w:name w:val="Footer Char"/>
    <w:basedOn w:val="DefaultParagraphFont"/>
    <w:link w:val="Footer"/>
    <w:uiPriority w:val="99"/>
    <w:semiHidden/>
    <w:rsid w:val="00B22C9D"/>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1B4"/>
    <w:pPr>
      <w:spacing w:after="0" w:line="240" w:lineRule="auto"/>
    </w:pPr>
    <w:rPr>
      <w:rFonts w:ascii="Times New Roman" w:eastAsia="Times New Roman" w:hAnsi="Times New Roman" w:cs="Times New Roman"/>
      <w:sz w:val="24"/>
      <w:szCs w:val="20"/>
    </w:rPr>
  </w:style>
  <w:style w:type="paragraph" w:styleId="Heading3">
    <w:name w:val="heading 3"/>
    <w:basedOn w:val="Normal"/>
    <w:next w:val="Normal"/>
    <w:link w:val="Heading3Char"/>
    <w:qFormat/>
    <w:rsid w:val="006901B4"/>
    <w:pPr>
      <w:keepNext/>
      <w:spacing w:before="120" w:after="60"/>
      <w:outlineLvl w:val="2"/>
    </w:pPr>
    <w:rPr>
      <w:rFonts w:cs="Arial"/>
      <w:b/>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6901B4"/>
    <w:rPr>
      <w:rFonts w:ascii="Times New Roman" w:eastAsia="Times New Roman" w:hAnsi="Times New Roman" w:cs="Arial"/>
      <w:b/>
      <w:bCs/>
      <w:i/>
      <w:sz w:val="24"/>
      <w:szCs w:val="26"/>
    </w:rPr>
  </w:style>
  <w:style w:type="paragraph" w:styleId="Title">
    <w:name w:val="Title"/>
    <w:aliases w:val=" Char"/>
    <w:basedOn w:val="Normal"/>
    <w:link w:val="TitleChar"/>
    <w:qFormat/>
    <w:rsid w:val="006901B4"/>
    <w:pPr>
      <w:jc w:val="center"/>
    </w:pPr>
    <w:rPr>
      <w:b/>
      <w:sz w:val="28"/>
    </w:rPr>
  </w:style>
  <w:style w:type="character" w:customStyle="1" w:styleId="TitleChar">
    <w:name w:val="Title Char"/>
    <w:aliases w:val=" Char Char"/>
    <w:basedOn w:val="DefaultParagraphFont"/>
    <w:link w:val="Title"/>
    <w:rsid w:val="006901B4"/>
    <w:rPr>
      <w:rFonts w:ascii="Times New Roman" w:eastAsia="Times New Roman" w:hAnsi="Times New Roman" w:cs="Times New Roman"/>
      <w:b/>
      <w:sz w:val="28"/>
      <w:szCs w:val="20"/>
    </w:rPr>
  </w:style>
  <w:style w:type="paragraph" w:styleId="ListParagraph">
    <w:name w:val="List Paragraph"/>
    <w:basedOn w:val="Normal"/>
    <w:uiPriority w:val="34"/>
    <w:qFormat/>
    <w:rsid w:val="00F32F4E"/>
    <w:pPr>
      <w:ind w:left="720"/>
      <w:contextualSpacing/>
    </w:pPr>
  </w:style>
  <w:style w:type="paragraph" w:styleId="BalloonText">
    <w:name w:val="Balloon Text"/>
    <w:basedOn w:val="Normal"/>
    <w:link w:val="BalloonTextChar"/>
    <w:uiPriority w:val="99"/>
    <w:semiHidden/>
    <w:unhideWhenUsed/>
    <w:rsid w:val="00F23143"/>
    <w:rPr>
      <w:rFonts w:ascii="Tahoma" w:hAnsi="Tahoma" w:cs="Tahoma"/>
      <w:sz w:val="16"/>
      <w:szCs w:val="16"/>
    </w:rPr>
  </w:style>
  <w:style w:type="character" w:customStyle="1" w:styleId="BalloonTextChar">
    <w:name w:val="Balloon Text Char"/>
    <w:basedOn w:val="DefaultParagraphFont"/>
    <w:link w:val="BalloonText"/>
    <w:uiPriority w:val="99"/>
    <w:semiHidden/>
    <w:rsid w:val="00F23143"/>
    <w:rPr>
      <w:rFonts w:ascii="Tahoma" w:eastAsia="Times New Roman" w:hAnsi="Tahoma" w:cs="Tahoma"/>
      <w:sz w:val="16"/>
      <w:szCs w:val="16"/>
    </w:rPr>
  </w:style>
  <w:style w:type="paragraph" w:styleId="Header">
    <w:name w:val="header"/>
    <w:basedOn w:val="Normal"/>
    <w:link w:val="HeaderChar"/>
    <w:uiPriority w:val="99"/>
    <w:semiHidden/>
    <w:unhideWhenUsed/>
    <w:rsid w:val="00B22C9D"/>
    <w:pPr>
      <w:tabs>
        <w:tab w:val="center" w:pos="4680"/>
        <w:tab w:val="right" w:pos="9360"/>
      </w:tabs>
    </w:pPr>
  </w:style>
  <w:style w:type="character" w:customStyle="1" w:styleId="HeaderChar">
    <w:name w:val="Header Char"/>
    <w:basedOn w:val="DefaultParagraphFont"/>
    <w:link w:val="Header"/>
    <w:uiPriority w:val="99"/>
    <w:semiHidden/>
    <w:rsid w:val="00B22C9D"/>
    <w:rPr>
      <w:rFonts w:ascii="Times New Roman" w:eastAsia="Times New Roman" w:hAnsi="Times New Roman" w:cs="Times New Roman"/>
      <w:sz w:val="24"/>
      <w:szCs w:val="20"/>
    </w:rPr>
  </w:style>
  <w:style w:type="paragraph" w:styleId="Footer">
    <w:name w:val="footer"/>
    <w:basedOn w:val="Normal"/>
    <w:link w:val="FooterChar"/>
    <w:uiPriority w:val="99"/>
    <w:semiHidden/>
    <w:unhideWhenUsed/>
    <w:rsid w:val="00B22C9D"/>
    <w:pPr>
      <w:tabs>
        <w:tab w:val="center" w:pos="4680"/>
        <w:tab w:val="right" w:pos="9360"/>
      </w:tabs>
    </w:pPr>
  </w:style>
  <w:style w:type="character" w:customStyle="1" w:styleId="FooterChar">
    <w:name w:val="Footer Char"/>
    <w:basedOn w:val="DefaultParagraphFont"/>
    <w:link w:val="Footer"/>
    <w:uiPriority w:val="99"/>
    <w:semiHidden/>
    <w:rsid w:val="00B22C9D"/>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6941EE-6B85-49D9-9C0C-0BDEEDFF5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753</Words>
  <Characters>4297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lobrien</dc:creator>
  <cp:lastModifiedBy>Valerie M. Myra</cp:lastModifiedBy>
  <cp:revision>2</cp:revision>
  <cp:lastPrinted>2014-04-29T16:32:00Z</cp:lastPrinted>
  <dcterms:created xsi:type="dcterms:W3CDTF">2014-06-12T11:40:00Z</dcterms:created>
  <dcterms:modified xsi:type="dcterms:W3CDTF">2014-06-12T11:40:00Z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unPrepV4.3.5">
    <vt:lpwstr>6/9/2014 11:28:04 AM</vt:lpwstr>
  </property>
</Properties>
</file>