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9FE40" w14:textId="77777777" w:rsidR="00673B48" w:rsidRPr="008C3457" w:rsidRDefault="00673B48" w:rsidP="00665986">
      <w:pPr>
        <w:pStyle w:val="Heading1"/>
      </w:pPr>
      <w:r>
        <w:t>LIMANDE À QUEUE JAUNE DU BANC DE GEORGES</w:t>
      </w:r>
    </w:p>
    <w:p w14:paraId="79202DDF" w14:textId="3DFD03DB" w:rsidR="00673B48" w:rsidRPr="00665986" w:rsidRDefault="00665986" w:rsidP="00665986">
      <w:pPr>
        <w:pStyle w:val="Heading1"/>
        <w:rPr>
          <w:bCs/>
        </w:rPr>
      </w:pPr>
      <w:r w:rsidRPr="00665986">
        <w:rPr>
          <w:b w:val="0"/>
          <w:bCs/>
        </w:rPr>
        <w:t xml:space="preserve"> </w:t>
      </w:r>
      <w:r w:rsidR="00673B48" w:rsidRPr="00665986">
        <w:rPr>
          <w:b w:val="0"/>
        </w:rPr>
        <w:t>[5Zhjmn; 522, 525, 551, 552, 561, 562]</w:t>
      </w:r>
    </w:p>
    <w:p w14:paraId="4EA09485" w14:textId="77777777" w:rsidR="00673B48" w:rsidRPr="008C3457" w:rsidRDefault="00673B48">
      <w:pPr>
        <w:jc w:val="center"/>
      </w:pPr>
      <w:r>
        <w:br w:type="column"/>
      </w:r>
      <w:r>
        <w:rPr>
          <w:noProof/>
        </w:rPr>
        <w:drawing>
          <wp:inline distT="0" distB="0" distL="0" distR="0" wp14:anchorId="62F689EF" wp14:editId="070C51BB">
            <wp:extent cx="2628900" cy="2143125"/>
            <wp:effectExtent l="0" t="0" r="0" b="0"/>
            <wp:docPr id="3" name="Picture 1" descr="Carte du banc de Geor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628900" cy="2143125"/>
                    </a:xfrm>
                    <a:prstGeom prst="rect">
                      <a:avLst/>
                    </a:prstGeom>
                    <a:noFill/>
                    <a:ln w="9525">
                      <a:noFill/>
                      <a:miter lim="800000"/>
                      <a:headEnd/>
                      <a:tailEnd/>
                    </a:ln>
                  </pic:spPr>
                </pic:pic>
              </a:graphicData>
            </a:graphic>
          </wp:inline>
        </w:drawing>
      </w:r>
    </w:p>
    <w:p w14:paraId="016E9C45" w14:textId="77777777" w:rsidR="00673B48" w:rsidRPr="008C3457" w:rsidRDefault="00673B48"/>
    <w:p w14:paraId="0B6DB067" w14:textId="77777777" w:rsidR="00673B48" w:rsidRPr="008C3457" w:rsidRDefault="00673B48">
      <w:pPr>
        <w:sectPr w:rsidR="00673B48" w:rsidRPr="008C3457" w:rsidSect="00B04A1A">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num="2" w:space="720" w:equalWidth="0">
            <w:col w:w="4320" w:space="720"/>
            <w:col w:w="4320"/>
          </w:cols>
          <w:titlePg/>
          <w:docGrid w:linePitch="360"/>
        </w:sectPr>
      </w:pPr>
    </w:p>
    <w:p w14:paraId="0A150EC7" w14:textId="58217D19" w:rsidR="00DC56C4" w:rsidRPr="008C3457" w:rsidRDefault="00665986" w:rsidP="00665986">
      <w:pPr>
        <w:pStyle w:val="Heading2"/>
      </w:pPr>
      <w:r>
        <w:rPr>
          <w:caps w:val="0"/>
        </w:rPr>
        <w:t xml:space="preserve">Résumé </w:t>
      </w:r>
    </w:p>
    <w:p w14:paraId="31C6EFD6" w14:textId="57A22943" w:rsidR="00673B48" w:rsidRPr="008C3457" w:rsidRDefault="00673B48" w:rsidP="00665986">
      <w:pPr>
        <w:pStyle w:val="ListBullet"/>
      </w:pPr>
      <w:proofErr w:type="spellStart"/>
      <w:r>
        <w:t>En</w:t>
      </w:r>
      <w:proofErr w:type="spellEnd"/>
      <w:r>
        <w:t xml:space="preserve"> 2018, les </w:t>
      </w:r>
      <w:proofErr w:type="spellStart"/>
      <w:r>
        <w:t>prises</w:t>
      </w:r>
      <w:proofErr w:type="spellEnd"/>
      <w:r>
        <w:t xml:space="preserve"> </w:t>
      </w:r>
      <w:proofErr w:type="spellStart"/>
      <w:r>
        <w:t>combinées</w:t>
      </w:r>
      <w:proofErr w:type="spellEnd"/>
      <w:r>
        <w:t xml:space="preserve"> du Canada et des </w:t>
      </w:r>
      <w:proofErr w:type="spellStart"/>
      <w:r>
        <w:t>États</w:t>
      </w:r>
      <w:proofErr w:type="spellEnd"/>
      <w:r>
        <w:t xml:space="preserve">-Unis se </w:t>
      </w:r>
      <w:proofErr w:type="spellStart"/>
      <w:r>
        <w:t>sont</w:t>
      </w:r>
      <w:proofErr w:type="spellEnd"/>
      <w:r>
        <w:t xml:space="preserve"> </w:t>
      </w:r>
      <w:proofErr w:type="spellStart"/>
      <w:r>
        <w:t>chiffrées</w:t>
      </w:r>
      <w:proofErr w:type="spellEnd"/>
      <w:r>
        <w:t xml:space="preserve"> à 45 tm. </w:t>
      </w:r>
    </w:p>
    <w:p w14:paraId="6AF5408C" w14:textId="4B5CEBC0" w:rsidR="004D1C59" w:rsidRPr="008C3457" w:rsidRDefault="00E3353F" w:rsidP="00665986">
      <w:pPr>
        <w:pStyle w:val="ListBullet"/>
      </w:pPr>
      <w:r>
        <w:t>La tendance à la baisse dans la biomasse d</w:t>
      </w:r>
      <w:r w:rsidR="00D62505">
        <w:t>’</w:t>
      </w:r>
      <w:r>
        <w:t>après les relevés vers de faibles niveaux, et ce, malgré les réductions des prises à de faibles quantités historiques, indique que la ressource est en mauvais état.</w:t>
      </w:r>
    </w:p>
    <w:p w14:paraId="4A6A9E27" w14:textId="72B32112" w:rsidR="008E28D3" w:rsidRPr="008C3457" w:rsidRDefault="004D1C59" w:rsidP="00665986">
      <w:pPr>
        <w:pStyle w:val="ListBullet"/>
      </w:pPr>
      <w:r>
        <w:t xml:space="preserve">Les prises récentes sont faibles </w:t>
      </w:r>
      <w:r w:rsidR="007A6AE8">
        <w:t>comparativement</w:t>
      </w:r>
      <w:r>
        <w:t xml:space="preserve"> à l</w:t>
      </w:r>
      <w:r w:rsidR="00D62505">
        <w:t>’</w:t>
      </w:r>
      <w:r>
        <w:t>estimation de la biomasse d</w:t>
      </w:r>
      <w:r w:rsidR="00D62505">
        <w:t>’</w:t>
      </w:r>
      <w:r>
        <w:t>après les relevés, mais les analyses de la courbe des prises indiquent des taux de mortalité totale en déclin, mais tout de même élevés (Z &gt; 1 pour la plupart des années).</w:t>
      </w:r>
    </w:p>
    <w:p w14:paraId="3B978DCF" w14:textId="363BC28C" w:rsidR="00553EE2" w:rsidRPr="008C3457" w:rsidRDefault="00340064" w:rsidP="00665986">
      <w:pPr>
        <w:pStyle w:val="ListBullet"/>
      </w:pPr>
      <w:r>
        <w:t>La biomasse du stock est faible et la productivité est faible, les trois relevés faisant état d</w:t>
      </w:r>
      <w:r w:rsidR="00D62505">
        <w:t>’</w:t>
      </w:r>
      <w:r>
        <w:t>un faible recrutement récent.</w:t>
      </w:r>
    </w:p>
    <w:p w14:paraId="59ED6ECF" w14:textId="4151C86F" w:rsidR="00750882" w:rsidRPr="008C3457" w:rsidRDefault="0075732F" w:rsidP="00665986">
      <w:pPr>
        <w:pStyle w:val="ListBullet"/>
      </w:pPr>
      <w:r>
        <w:t>Une approche empirique, fondée sur les prises des relevés et mise au point dans le cadre de l</w:t>
      </w:r>
      <w:r w:rsidR="00D62505">
        <w:t>’</w:t>
      </w:r>
      <w:r>
        <w:t>analyse comparative des diagnostics et de l</w:t>
      </w:r>
      <w:r w:rsidR="00D62505">
        <w:t>’</w:t>
      </w:r>
      <w:r>
        <w:t xml:space="preserve">approche empirique pour la limande à queue jaune du banc de Georges de 2014, et mise à jour durant la conférence téléphonique de 2017 entre deux sessions, a été appliquée pour formuler des recommandations </w:t>
      </w:r>
      <w:r w:rsidR="00333538">
        <w:t>relatives aux</w:t>
      </w:r>
      <w:r>
        <w:t xml:space="preserve"> prises. </w:t>
      </w:r>
    </w:p>
    <w:p w14:paraId="6DB8F063" w14:textId="7CE149ED" w:rsidR="003A7AAE" w:rsidRPr="008C3457" w:rsidRDefault="003A7AAE" w:rsidP="00665986">
      <w:pPr>
        <w:pStyle w:val="ListBullet"/>
      </w:pPr>
      <w:r>
        <w:t xml:space="preserve">Le CERT recommande une limite supérieure </w:t>
      </w:r>
      <w:r w:rsidR="00333538">
        <w:t xml:space="preserve">de 6 % </w:t>
      </w:r>
      <w:r>
        <w:t>pour le taux d</w:t>
      </w:r>
      <w:r w:rsidR="00D62505">
        <w:t>’</w:t>
      </w:r>
      <w:r>
        <w:t xml:space="preserve">exploitation </w:t>
      </w:r>
      <w:r w:rsidR="00333538">
        <w:t xml:space="preserve">quant aux </w:t>
      </w:r>
      <w:r>
        <w:t xml:space="preserve">recommandations </w:t>
      </w:r>
      <w:r w:rsidR="00333538">
        <w:t xml:space="preserve">relatives aux </w:t>
      </w:r>
      <w:r>
        <w:t xml:space="preserve">prises, ce qui donne 199 tm pour 2020. </w:t>
      </w:r>
    </w:p>
    <w:p w14:paraId="369EE8BE" w14:textId="71AB5C01" w:rsidR="001A6FCD" w:rsidRPr="008C3457" w:rsidRDefault="001A6FCD" w:rsidP="00665986">
      <w:pPr>
        <w:pStyle w:val="ListBullet"/>
      </w:pPr>
      <w:r>
        <w:t>Le CERT recommande de fixer le taux d</w:t>
      </w:r>
      <w:r w:rsidR="00D62505">
        <w:t>’</w:t>
      </w:r>
      <w:r>
        <w:t>exploitation aussi bas que possible en dessous de la limite supérieure de 6 %.</w:t>
      </w:r>
    </w:p>
    <w:p w14:paraId="2F7C4675" w14:textId="4A86E116" w:rsidR="00453E2E" w:rsidRPr="00665986" w:rsidRDefault="002620AC" w:rsidP="00333538">
      <w:pPr>
        <w:rPr>
          <w:lang w:val="fr-CA"/>
        </w:rPr>
      </w:pPr>
      <w:r>
        <w:br w:type="page"/>
      </w:r>
      <w:r w:rsidR="00453E2E">
        <w:lastRenderedPageBreak/>
        <w:t>En 2017, le CERT a instauré un nouveau processus d</w:t>
      </w:r>
      <w:r w:rsidR="00D62505">
        <w:t>’</w:t>
      </w:r>
      <w:r w:rsidR="00453E2E">
        <w:t>examen pour la morue et l</w:t>
      </w:r>
      <w:r w:rsidR="00D62505">
        <w:t>’</w:t>
      </w:r>
      <w:r w:rsidR="00453E2E">
        <w:t>aiglefin de l</w:t>
      </w:r>
      <w:r w:rsidR="00D62505">
        <w:t>’</w:t>
      </w:r>
      <w:r w:rsidR="00453E2E">
        <w:t xml:space="preserve">est du banc de Georges </w:t>
      </w:r>
      <w:r w:rsidR="0017052B">
        <w:t>ainsi que pour</w:t>
      </w:r>
      <w:r w:rsidR="00453E2E">
        <w:t xml:space="preserve"> la limande à queue jaune du banc de Georges</w:t>
      </w:r>
      <w:r w:rsidR="00FD194D">
        <w:t xml:space="preserve">. </w:t>
      </w:r>
      <w:r w:rsidR="00453E2E">
        <w:t>Ce processus a été examiné par le CERT et le COGST à la suite de sa première mise en œuvre en 2017, et certaines modifications ont été apportées afin d</w:t>
      </w:r>
      <w:r w:rsidR="00D62505">
        <w:t>’</w:t>
      </w:r>
      <w:r w:rsidR="00453E2E">
        <w:t>améliorer davantage la clarté du processus</w:t>
      </w:r>
      <w:r w:rsidR="00FD194D">
        <w:t xml:space="preserve">. </w:t>
      </w:r>
      <w:r w:rsidR="00453E2E" w:rsidRPr="00665986">
        <w:rPr>
          <w:lang w:val="fr-CA"/>
        </w:rPr>
        <w:t xml:space="preserve">Vous trouverez un aperçu du processus complet appliqué en 2018 </w:t>
      </w:r>
      <w:hyperlink r:id="rId14" w:history="1">
        <w:r w:rsidR="00453E2E" w:rsidRPr="00665986">
          <w:rPr>
            <w:rStyle w:val="Hyperlink"/>
            <w:lang w:val="fr-CA"/>
          </w:rPr>
          <w:t>à l</w:t>
        </w:r>
        <w:r w:rsidR="00D62505" w:rsidRPr="00665986">
          <w:rPr>
            <w:rStyle w:val="Hyperlink"/>
            <w:lang w:val="fr-CA"/>
          </w:rPr>
          <w:t>’</w:t>
        </w:r>
        <w:r w:rsidR="00453E2E" w:rsidRPr="00665986">
          <w:rPr>
            <w:rStyle w:val="Hyperlink"/>
            <w:lang w:val="fr-CA"/>
          </w:rPr>
          <w:t>adresse suivante</w:t>
        </w:r>
      </w:hyperlink>
      <w:r w:rsidR="00665986">
        <w:rPr>
          <w:rStyle w:val="Hyperlink"/>
          <w:color w:val="000000" w:themeColor="text1"/>
          <w:u w:val="none"/>
          <w:lang w:val="fr-CA"/>
        </w:rPr>
        <w:t xml:space="preserve"> </w:t>
      </w:r>
      <w:r w:rsidR="0017052B" w:rsidRPr="00665986">
        <w:rPr>
          <w:rStyle w:val="Hyperlink"/>
          <w:color w:val="000000" w:themeColor="text1"/>
          <w:u w:val="none"/>
          <w:lang w:val="fr-CA"/>
        </w:rPr>
        <w:t>(en anglais).</w:t>
      </w:r>
    </w:p>
    <w:p w14:paraId="0229C26C" w14:textId="2C845229" w:rsidR="00673B48" w:rsidRPr="00665986" w:rsidRDefault="00665986" w:rsidP="00665986">
      <w:pPr>
        <w:pStyle w:val="Caption-Table"/>
        <w:rPr>
          <w:lang w:val="fr-CA"/>
        </w:rPr>
      </w:pPr>
      <w:r w:rsidRPr="00665986">
        <w:rPr>
          <w:lang w:val="fr-CA"/>
        </w:rPr>
        <w:t>Tableau 1. Prises (</w:t>
      </w:r>
      <w:proofErr w:type="spellStart"/>
      <w:r w:rsidRPr="00665986">
        <w:rPr>
          <w:lang w:val="fr-CA"/>
        </w:rPr>
        <w:t>tm</w:t>
      </w:r>
      <w:proofErr w:type="spellEnd"/>
      <w:r w:rsidRPr="00665986">
        <w:rPr>
          <w:lang w:val="fr-CA"/>
        </w:rPr>
        <w:t xml:space="preserve">). </w:t>
      </w:r>
      <w:r>
        <w:rPr>
          <w:lang w:val="fr-CA"/>
        </w:rPr>
        <w:t xml:space="preserve">Un tiret (-) indique aucune donnée. </w:t>
      </w:r>
    </w:p>
    <w:tbl>
      <w:tblPr>
        <w:tblW w:w="9353" w:type="dxa"/>
        <w:tblInd w:w="93" w:type="dxa"/>
        <w:tblLayout w:type="fixed"/>
        <w:tblLook w:val="04A0" w:firstRow="1" w:lastRow="0" w:firstColumn="1" w:lastColumn="0" w:noHBand="0" w:noVBand="1"/>
      </w:tblPr>
      <w:tblGrid>
        <w:gridCol w:w="864"/>
        <w:gridCol w:w="1397"/>
        <w:gridCol w:w="582"/>
        <w:gridCol w:w="718"/>
        <w:gridCol w:w="718"/>
        <w:gridCol w:w="718"/>
        <w:gridCol w:w="718"/>
        <w:gridCol w:w="766"/>
        <w:gridCol w:w="718"/>
        <w:gridCol w:w="718"/>
        <w:gridCol w:w="718"/>
        <w:gridCol w:w="718"/>
      </w:tblGrid>
      <w:tr w:rsidR="005D1442" w:rsidRPr="00665986" w14:paraId="6EEFB755" w14:textId="77777777" w:rsidTr="00665986">
        <w:trPr>
          <w:trHeight w:val="259"/>
        </w:trPr>
        <w:tc>
          <w:tcPr>
            <w:tcW w:w="864" w:type="dxa"/>
            <w:tcBorders>
              <w:top w:val="single" w:sz="8" w:space="0" w:color="auto"/>
              <w:left w:val="nil"/>
              <w:bottom w:val="single" w:sz="8" w:space="0" w:color="auto"/>
              <w:right w:val="nil"/>
            </w:tcBorders>
            <w:shd w:val="clear" w:color="auto" w:fill="auto"/>
            <w:noWrap/>
            <w:vAlign w:val="center"/>
            <w:hideMark/>
          </w:tcPr>
          <w:p w14:paraId="5D8A7D5A" w14:textId="4EE2B7D8" w:rsidR="005D1442" w:rsidRPr="00665986" w:rsidRDefault="008C3457">
            <w:pPr>
              <w:jc w:val="right"/>
              <w:rPr>
                <w:color w:val="000000"/>
                <w:sz w:val="16"/>
                <w:szCs w:val="16"/>
                <w:lang w:val="fr-CA"/>
              </w:rPr>
            </w:pPr>
            <w:r w:rsidRPr="00665986">
              <w:rPr>
                <w:color w:val="000000"/>
                <w:sz w:val="16"/>
                <w:szCs w:val="16"/>
                <w:lang w:val="fr-CA"/>
              </w:rPr>
              <w:t xml:space="preserve"> </w:t>
            </w:r>
          </w:p>
        </w:tc>
        <w:tc>
          <w:tcPr>
            <w:tcW w:w="1397" w:type="dxa"/>
            <w:tcBorders>
              <w:top w:val="single" w:sz="8" w:space="0" w:color="auto"/>
              <w:left w:val="nil"/>
              <w:bottom w:val="single" w:sz="8" w:space="0" w:color="auto"/>
              <w:right w:val="nil"/>
            </w:tcBorders>
            <w:shd w:val="clear" w:color="auto" w:fill="auto"/>
            <w:noWrap/>
            <w:vAlign w:val="center"/>
            <w:hideMark/>
          </w:tcPr>
          <w:p w14:paraId="24F7E0E1" w14:textId="0C0F4292" w:rsidR="005D1442" w:rsidRPr="00665986" w:rsidRDefault="008C3457">
            <w:pPr>
              <w:jc w:val="right"/>
              <w:rPr>
                <w:color w:val="000000"/>
                <w:sz w:val="16"/>
                <w:szCs w:val="16"/>
                <w:lang w:val="fr-CA"/>
              </w:rPr>
            </w:pPr>
            <w:r w:rsidRPr="00665986">
              <w:rPr>
                <w:color w:val="000000"/>
                <w:sz w:val="16"/>
                <w:szCs w:val="16"/>
                <w:lang w:val="fr-CA"/>
              </w:rPr>
              <w:t xml:space="preserve"> </w:t>
            </w:r>
          </w:p>
        </w:tc>
        <w:tc>
          <w:tcPr>
            <w:tcW w:w="582" w:type="dxa"/>
            <w:tcBorders>
              <w:top w:val="single" w:sz="8" w:space="0" w:color="auto"/>
              <w:left w:val="nil"/>
              <w:bottom w:val="single" w:sz="8" w:space="0" w:color="auto"/>
              <w:right w:val="nil"/>
            </w:tcBorders>
            <w:shd w:val="clear" w:color="auto" w:fill="auto"/>
            <w:noWrap/>
            <w:vAlign w:val="center"/>
            <w:hideMark/>
          </w:tcPr>
          <w:p w14:paraId="547AE2E4" w14:textId="4B51E6EF" w:rsidR="005D1442" w:rsidRPr="00665986" w:rsidRDefault="005D1442">
            <w:pPr>
              <w:jc w:val="right"/>
              <w:rPr>
                <w:b/>
                <w:bCs/>
                <w:color w:val="000000"/>
                <w:sz w:val="16"/>
                <w:szCs w:val="16"/>
                <w:lang w:val="fr-CA"/>
              </w:rPr>
            </w:pPr>
            <w:r w:rsidRPr="00665986">
              <w:rPr>
                <w:b/>
                <w:bCs/>
                <w:color w:val="000000"/>
                <w:sz w:val="16"/>
                <w:szCs w:val="16"/>
                <w:lang w:val="fr-CA"/>
              </w:rPr>
              <w:t>2013</w:t>
            </w:r>
          </w:p>
        </w:tc>
        <w:tc>
          <w:tcPr>
            <w:tcW w:w="718" w:type="dxa"/>
            <w:tcBorders>
              <w:top w:val="single" w:sz="8" w:space="0" w:color="auto"/>
              <w:left w:val="nil"/>
              <w:bottom w:val="single" w:sz="8" w:space="0" w:color="auto"/>
              <w:right w:val="nil"/>
            </w:tcBorders>
            <w:shd w:val="clear" w:color="auto" w:fill="auto"/>
            <w:noWrap/>
            <w:vAlign w:val="center"/>
            <w:hideMark/>
          </w:tcPr>
          <w:p w14:paraId="095F25CA" w14:textId="68B008FD" w:rsidR="005D1442" w:rsidRPr="00665986" w:rsidRDefault="005D1442">
            <w:pPr>
              <w:jc w:val="right"/>
              <w:rPr>
                <w:b/>
                <w:bCs/>
                <w:color w:val="000000"/>
                <w:sz w:val="16"/>
                <w:szCs w:val="16"/>
                <w:lang w:val="fr-CA"/>
              </w:rPr>
            </w:pPr>
            <w:r w:rsidRPr="00665986">
              <w:rPr>
                <w:b/>
                <w:bCs/>
                <w:color w:val="000000"/>
                <w:sz w:val="16"/>
                <w:szCs w:val="16"/>
                <w:lang w:val="fr-CA"/>
              </w:rPr>
              <w:t>2014</w:t>
            </w:r>
          </w:p>
        </w:tc>
        <w:tc>
          <w:tcPr>
            <w:tcW w:w="718" w:type="dxa"/>
            <w:tcBorders>
              <w:top w:val="single" w:sz="8" w:space="0" w:color="auto"/>
              <w:left w:val="nil"/>
              <w:bottom w:val="single" w:sz="8" w:space="0" w:color="auto"/>
              <w:right w:val="nil"/>
            </w:tcBorders>
            <w:shd w:val="clear" w:color="auto" w:fill="auto"/>
            <w:noWrap/>
            <w:vAlign w:val="center"/>
            <w:hideMark/>
          </w:tcPr>
          <w:p w14:paraId="22396B82" w14:textId="2928AE34" w:rsidR="005D1442" w:rsidRPr="00665986" w:rsidRDefault="005D1442">
            <w:pPr>
              <w:jc w:val="right"/>
              <w:rPr>
                <w:b/>
                <w:bCs/>
                <w:color w:val="000000"/>
                <w:sz w:val="16"/>
                <w:szCs w:val="16"/>
                <w:lang w:val="fr-CA"/>
              </w:rPr>
            </w:pPr>
            <w:r w:rsidRPr="00665986">
              <w:rPr>
                <w:b/>
                <w:bCs/>
                <w:color w:val="000000"/>
                <w:sz w:val="16"/>
                <w:szCs w:val="16"/>
                <w:lang w:val="fr-CA"/>
              </w:rPr>
              <w:t>2015</w:t>
            </w:r>
          </w:p>
        </w:tc>
        <w:tc>
          <w:tcPr>
            <w:tcW w:w="718" w:type="dxa"/>
            <w:tcBorders>
              <w:top w:val="single" w:sz="8" w:space="0" w:color="auto"/>
              <w:left w:val="nil"/>
              <w:bottom w:val="single" w:sz="8" w:space="0" w:color="auto"/>
              <w:right w:val="nil"/>
            </w:tcBorders>
            <w:shd w:val="clear" w:color="auto" w:fill="auto"/>
            <w:noWrap/>
            <w:vAlign w:val="center"/>
            <w:hideMark/>
          </w:tcPr>
          <w:p w14:paraId="0FDE2BC0" w14:textId="2AFD0569" w:rsidR="005D1442" w:rsidRPr="00665986" w:rsidRDefault="005D1442">
            <w:pPr>
              <w:jc w:val="right"/>
              <w:rPr>
                <w:b/>
                <w:bCs/>
                <w:color w:val="000000"/>
                <w:sz w:val="16"/>
                <w:szCs w:val="16"/>
                <w:lang w:val="fr-CA"/>
              </w:rPr>
            </w:pPr>
            <w:r w:rsidRPr="00665986">
              <w:rPr>
                <w:b/>
                <w:bCs/>
                <w:color w:val="000000"/>
                <w:sz w:val="16"/>
                <w:szCs w:val="16"/>
                <w:lang w:val="fr-CA"/>
              </w:rPr>
              <w:t>2016</w:t>
            </w:r>
          </w:p>
        </w:tc>
        <w:tc>
          <w:tcPr>
            <w:tcW w:w="718" w:type="dxa"/>
            <w:tcBorders>
              <w:top w:val="single" w:sz="8" w:space="0" w:color="auto"/>
              <w:left w:val="nil"/>
              <w:bottom w:val="single" w:sz="8" w:space="0" w:color="auto"/>
              <w:right w:val="nil"/>
            </w:tcBorders>
            <w:shd w:val="clear" w:color="auto" w:fill="auto"/>
            <w:noWrap/>
            <w:vAlign w:val="center"/>
            <w:hideMark/>
          </w:tcPr>
          <w:p w14:paraId="59413034" w14:textId="7B883DA8" w:rsidR="005D1442" w:rsidRPr="00665986" w:rsidRDefault="005D1442">
            <w:pPr>
              <w:jc w:val="right"/>
              <w:rPr>
                <w:b/>
                <w:bCs/>
                <w:color w:val="000000"/>
                <w:sz w:val="16"/>
                <w:szCs w:val="16"/>
                <w:lang w:val="fr-CA"/>
              </w:rPr>
            </w:pPr>
            <w:r w:rsidRPr="00665986">
              <w:rPr>
                <w:b/>
                <w:bCs/>
                <w:color w:val="000000"/>
                <w:sz w:val="16"/>
                <w:szCs w:val="16"/>
                <w:lang w:val="fr-CA"/>
              </w:rPr>
              <w:t>2017</w:t>
            </w:r>
          </w:p>
        </w:tc>
        <w:tc>
          <w:tcPr>
            <w:tcW w:w="766" w:type="dxa"/>
            <w:tcBorders>
              <w:top w:val="single" w:sz="8" w:space="0" w:color="auto"/>
              <w:left w:val="nil"/>
              <w:bottom w:val="single" w:sz="8" w:space="0" w:color="auto"/>
              <w:right w:val="nil"/>
            </w:tcBorders>
            <w:shd w:val="clear" w:color="auto" w:fill="auto"/>
            <w:noWrap/>
            <w:vAlign w:val="center"/>
            <w:hideMark/>
          </w:tcPr>
          <w:p w14:paraId="34E3115C" w14:textId="3502973E" w:rsidR="005D1442" w:rsidRPr="00665986" w:rsidRDefault="005D1442">
            <w:pPr>
              <w:jc w:val="right"/>
              <w:rPr>
                <w:b/>
                <w:bCs/>
                <w:color w:val="000000"/>
                <w:sz w:val="16"/>
                <w:szCs w:val="16"/>
                <w:lang w:val="fr-CA"/>
              </w:rPr>
            </w:pPr>
            <w:r w:rsidRPr="00665986">
              <w:rPr>
                <w:b/>
                <w:bCs/>
                <w:color w:val="000000"/>
                <w:sz w:val="16"/>
                <w:szCs w:val="16"/>
                <w:lang w:val="fr-CA"/>
              </w:rPr>
              <w:t>2018</w:t>
            </w:r>
          </w:p>
        </w:tc>
        <w:tc>
          <w:tcPr>
            <w:tcW w:w="718" w:type="dxa"/>
            <w:tcBorders>
              <w:top w:val="single" w:sz="8" w:space="0" w:color="auto"/>
              <w:left w:val="nil"/>
              <w:bottom w:val="single" w:sz="8" w:space="0" w:color="auto"/>
              <w:right w:val="nil"/>
            </w:tcBorders>
            <w:shd w:val="clear" w:color="auto" w:fill="auto"/>
            <w:noWrap/>
            <w:vAlign w:val="center"/>
            <w:hideMark/>
          </w:tcPr>
          <w:p w14:paraId="061DC16E" w14:textId="6B329947" w:rsidR="005D1442" w:rsidRPr="00665986" w:rsidRDefault="005D1442">
            <w:pPr>
              <w:jc w:val="right"/>
              <w:rPr>
                <w:b/>
                <w:bCs/>
                <w:color w:val="000000"/>
                <w:sz w:val="16"/>
                <w:szCs w:val="16"/>
                <w:lang w:val="fr-CA"/>
              </w:rPr>
            </w:pPr>
            <w:r w:rsidRPr="00665986">
              <w:rPr>
                <w:b/>
                <w:bCs/>
                <w:color w:val="000000"/>
                <w:sz w:val="16"/>
                <w:szCs w:val="16"/>
                <w:lang w:val="fr-CA"/>
              </w:rPr>
              <w:t>2019</w:t>
            </w:r>
          </w:p>
        </w:tc>
        <w:tc>
          <w:tcPr>
            <w:tcW w:w="718" w:type="dxa"/>
            <w:tcBorders>
              <w:top w:val="single" w:sz="8" w:space="0" w:color="auto"/>
              <w:left w:val="nil"/>
              <w:bottom w:val="single" w:sz="8" w:space="0" w:color="auto"/>
              <w:right w:val="nil"/>
            </w:tcBorders>
            <w:shd w:val="clear" w:color="auto" w:fill="auto"/>
            <w:noWrap/>
            <w:vAlign w:val="center"/>
            <w:hideMark/>
          </w:tcPr>
          <w:p w14:paraId="3E92459E" w14:textId="1D8B6FC6" w:rsidR="005D1442" w:rsidRPr="00665986" w:rsidRDefault="005D1442">
            <w:pPr>
              <w:jc w:val="right"/>
              <w:rPr>
                <w:b/>
                <w:bCs/>
                <w:color w:val="000000"/>
                <w:sz w:val="16"/>
                <w:szCs w:val="16"/>
                <w:lang w:val="fr-CA"/>
              </w:rPr>
            </w:pPr>
            <w:r w:rsidRPr="00665986">
              <w:rPr>
                <w:b/>
                <w:bCs/>
                <w:color w:val="000000"/>
                <w:sz w:val="16"/>
                <w:szCs w:val="16"/>
                <w:lang w:val="fr-CA"/>
              </w:rPr>
              <w:t>Moy.</w:t>
            </w:r>
            <w:r w:rsidRPr="00665986">
              <w:rPr>
                <w:b/>
                <w:bCs/>
                <w:color w:val="000000"/>
                <w:sz w:val="16"/>
                <w:szCs w:val="16"/>
                <w:vertAlign w:val="superscript"/>
                <w:lang w:val="fr-CA"/>
              </w:rPr>
              <w:t>1</w:t>
            </w:r>
          </w:p>
        </w:tc>
        <w:tc>
          <w:tcPr>
            <w:tcW w:w="718" w:type="dxa"/>
            <w:tcBorders>
              <w:top w:val="single" w:sz="8" w:space="0" w:color="auto"/>
              <w:left w:val="nil"/>
              <w:bottom w:val="single" w:sz="8" w:space="0" w:color="auto"/>
              <w:right w:val="nil"/>
            </w:tcBorders>
            <w:shd w:val="clear" w:color="auto" w:fill="auto"/>
            <w:noWrap/>
            <w:vAlign w:val="center"/>
            <w:hideMark/>
          </w:tcPr>
          <w:p w14:paraId="0C85A222" w14:textId="3A66962A" w:rsidR="005D1442" w:rsidRPr="00665986" w:rsidRDefault="005D1442">
            <w:pPr>
              <w:jc w:val="right"/>
              <w:rPr>
                <w:b/>
                <w:bCs/>
                <w:color w:val="000000"/>
                <w:sz w:val="16"/>
                <w:szCs w:val="16"/>
                <w:lang w:val="fr-CA"/>
              </w:rPr>
            </w:pPr>
            <w:r w:rsidRPr="00665986">
              <w:rPr>
                <w:b/>
                <w:bCs/>
                <w:color w:val="000000"/>
                <w:sz w:val="16"/>
                <w:szCs w:val="16"/>
                <w:lang w:val="fr-CA"/>
              </w:rPr>
              <w:t>Min.</w:t>
            </w:r>
            <w:r w:rsidRPr="00665986">
              <w:rPr>
                <w:b/>
                <w:bCs/>
                <w:color w:val="000000"/>
                <w:sz w:val="16"/>
                <w:szCs w:val="16"/>
                <w:vertAlign w:val="superscript"/>
                <w:lang w:val="fr-CA"/>
              </w:rPr>
              <w:t>1</w:t>
            </w:r>
          </w:p>
        </w:tc>
        <w:tc>
          <w:tcPr>
            <w:tcW w:w="718" w:type="dxa"/>
            <w:tcBorders>
              <w:top w:val="single" w:sz="8" w:space="0" w:color="auto"/>
              <w:left w:val="nil"/>
              <w:bottom w:val="single" w:sz="8" w:space="0" w:color="auto"/>
              <w:right w:val="nil"/>
            </w:tcBorders>
            <w:shd w:val="clear" w:color="auto" w:fill="auto"/>
            <w:noWrap/>
            <w:vAlign w:val="center"/>
            <w:hideMark/>
          </w:tcPr>
          <w:p w14:paraId="7DA99CC2" w14:textId="4BA7126A" w:rsidR="005D1442" w:rsidRPr="00665986" w:rsidRDefault="005D1442">
            <w:pPr>
              <w:jc w:val="right"/>
              <w:rPr>
                <w:b/>
                <w:bCs/>
                <w:color w:val="000000"/>
                <w:sz w:val="16"/>
                <w:szCs w:val="16"/>
                <w:lang w:val="fr-CA"/>
              </w:rPr>
            </w:pPr>
            <w:r w:rsidRPr="00665986">
              <w:rPr>
                <w:b/>
                <w:bCs/>
                <w:color w:val="000000"/>
                <w:sz w:val="16"/>
                <w:szCs w:val="16"/>
                <w:lang w:val="fr-CA"/>
              </w:rPr>
              <w:t>Max.</w:t>
            </w:r>
            <w:r w:rsidRPr="00665986">
              <w:rPr>
                <w:b/>
                <w:bCs/>
                <w:color w:val="000000"/>
                <w:sz w:val="16"/>
                <w:szCs w:val="16"/>
                <w:vertAlign w:val="superscript"/>
                <w:lang w:val="fr-CA"/>
              </w:rPr>
              <w:t>1</w:t>
            </w:r>
          </w:p>
        </w:tc>
      </w:tr>
      <w:tr w:rsidR="00665986" w:rsidRPr="008C3457" w14:paraId="7D65D513" w14:textId="77777777" w:rsidTr="00665986">
        <w:trPr>
          <w:trHeight w:val="259"/>
        </w:trPr>
        <w:tc>
          <w:tcPr>
            <w:tcW w:w="864" w:type="dxa"/>
            <w:vMerge w:val="restart"/>
            <w:tcBorders>
              <w:top w:val="nil"/>
              <w:left w:val="nil"/>
              <w:right w:val="nil"/>
            </w:tcBorders>
            <w:shd w:val="clear" w:color="auto" w:fill="auto"/>
            <w:noWrap/>
            <w:hideMark/>
          </w:tcPr>
          <w:p w14:paraId="7D5937A1" w14:textId="77777777" w:rsidR="00665986" w:rsidRPr="00665986" w:rsidRDefault="00665986" w:rsidP="00665986">
            <w:pPr>
              <w:rPr>
                <w:b/>
                <w:bCs/>
                <w:color w:val="000000"/>
                <w:sz w:val="16"/>
                <w:szCs w:val="16"/>
                <w:lang w:val="fr-CA"/>
              </w:rPr>
            </w:pPr>
            <w:r w:rsidRPr="00665986">
              <w:rPr>
                <w:b/>
                <w:bCs/>
                <w:color w:val="000000"/>
                <w:sz w:val="16"/>
                <w:szCs w:val="16"/>
                <w:lang w:val="fr-CA"/>
              </w:rPr>
              <w:t>Canada</w:t>
            </w:r>
            <w:r w:rsidRPr="00665986">
              <w:rPr>
                <w:b/>
                <w:bCs/>
                <w:color w:val="000000"/>
                <w:sz w:val="16"/>
                <w:szCs w:val="16"/>
                <w:vertAlign w:val="superscript"/>
                <w:lang w:val="fr-CA"/>
              </w:rPr>
              <w:t>2</w:t>
            </w:r>
          </w:p>
        </w:tc>
        <w:tc>
          <w:tcPr>
            <w:tcW w:w="1397" w:type="dxa"/>
            <w:tcBorders>
              <w:top w:val="nil"/>
              <w:left w:val="nil"/>
              <w:bottom w:val="nil"/>
              <w:right w:val="nil"/>
            </w:tcBorders>
            <w:shd w:val="clear" w:color="auto" w:fill="auto"/>
            <w:noWrap/>
            <w:vAlign w:val="center"/>
            <w:hideMark/>
          </w:tcPr>
          <w:p w14:paraId="62B81026" w14:textId="77777777" w:rsidR="00665986" w:rsidRPr="00665986" w:rsidRDefault="00665986">
            <w:pPr>
              <w:jc w:val="right"/>
              <w:rPr>
                <w:b/>
                <w:bCs/>
                <w:color w:val="000000"/>
                <w:sz w:val="16"/>
                <w:szCs w:val="16"/>
                <w:lang w:val="fr-CA"/>
              </w:rPr>
            </w:pPr>
            <w:r w:rsidRPr="00665986">
              <w:rPr>
                <w:b/>
                <w:bCs/>
                <w:color w:val="000000"/>
                <w:sz w:val="16"/>
                <w:szCs w:val="16"/>
                <w:lang w:val="fr-CA"/>
              </w:rPr>
              <w:t>Quota</w:t>
            </w:r>
          </w:p>
        </w:tc>
        <w:tc>
          <w:tcPr>
            <w:tcW w:w="582" w:type="dxa"/>
            <w:tcBorders>
              <w:top w:val="nil"/>
              <w:left w:val="nil"/>
              <w:bottom w:val="nil"/>
              <w:right w:val="nil"/>
            </w:tcBorders>
            <w:shd w:val="clear" w:color="auto" w:fill="auto"/>
            <w:noWrap/>
            <w:vAlign w:val="center"/>
            <w:hideMark/>
          </w:tcPr>
          <w:p w14:paraId="4A507AF7" w14:textId="666DA48B" w:rsidR="00665986" w:rsidRPr="00665986" w:rsidRDefault="00665986">
            <w:pPr>
              <w:jc w:val="right"/>
              <w:rPr>
                <w:color w:val="000000"/>
                <w:sz w:val="16"/>
                <w:szCs w:val="16"/>
                <w:lang w:val="fr-CA"/>
              </w:rPr>
            </w:pPr>
            <w:r w:rsidRPr="00665986">
              <w:rPr>
                <w:color w:val="000000"/>
                <w:sz w:val="16"/>
                <w:szCs w:val="16"/>
                <w:lang w:val="fr-CA"/>
              </w:rPr>
              <w:t xml:space="preserve">       285 </w:t>
            </w:r>
          </w:p>
        </w:tc>
        <w:tc>
          <w:tcPr>
            <w:tcW w:w="718" w:type="dxa"/>
            <w:tcBorders>
              <w:top w:val="nil"/>
              <w:left w:val="nil"/>
              <w:bottom w:val="nil"/>
              <w:right w:val="nil"/>
            </w:tcBorders>
            <w:shd w:val="clear" w:color="auto" w:fill="auto"/>
            <w:noWrap/>
            <w:vAlign w:val="center"/>
            <w:hideMark/>
          </w:tcPr>
          <w:p w14:paraId="0C8A248F" w14:textId="331F6EB7" w:rsidR="00665986" w:rsidRPr="00665986" w:rsidRDefault="00665986">
            <w:pPr>
              <w:jc w:val="right"/>
              <w:rPr>
                <w:color w:val="000000"/>
                <w:sz w:val="16"/>
                <w:szCs w:val="16"/>
                <w:lang w:val="fr-CA"/>
              </w:rPr>
            </w:pPr>
            <w:r w:rsidRPr="00665986">
              <w:rPr>
                <w:color w:val="000000"/>
                <w:sz w:val="16"/>
                <w:szCs w:val="16"/>
                <w:lang w:val="fr-CA"/>
              </w:rPr>
              <w:t xml:space="preserve">         72 </w:t>
            </w:r>
          </w:p>
        </w:tc>
        <w:tc>
          <w:tcPr>
            <w:tcW w:w="718" w:type="dxa"/>
            <w:tcBorders>
              <w:top w:val="nil"/>
              <w:left w:val="nil"/>
              <w:bottom w:val="nil"/>
              <w:right w:val="nil"/>
            </w:tcBorders>
            <w:shd w:val="clear" w:color="auto" w:fill="auto"/>
            <w:noWrap/>
            <w:vAlign w:val="center"/>
            <w:hideMark/>
          </w:tcPr>
          <w:p w14:paraId="2AA938B9" w14:textId="58A3B9C4" w:rsidR="00665986" w:rsidRPr="008C3457" w:rsidRDefault="00665986">
            <w:pPr>
              <w:jc w:val="right"/>
              <w:rPr>
                <w:color w:val="000000"/>
                <w:sz w:val="16"/>
                <w:szCs w:val="16"/>
              </w:rPr>
            </w:pPr>
            <w:r w:rsidRPr="00665986">
              <w:rPr>
                <w:color w:val="000000"/>
                <w:sz w:val="16"/>
                <w:szCs w:val="16"/>
                <w:lang w:val="fr-CA"/>
              </w:rPr>
              <w:t xml:space="preserve">       </w:t>
            </w:r>
            <w:r>
              <w:rPr>
                <w:color w:val="000000"/>
                <w:sz w:val="16"/>
                <w:szCs w:val="16"/>
              </w:rPr>
              <w:t xml:space="preserve">106 </w:t>
            </w:r>
          </w:p>
        </w:tc>
        <w:tc>
          <w:tcPr>
            <w:tcW w:w="718" w:type="dxa"/>
            <w:tcBorders>
              <w:top w:val="nil"/>
              <w:left w:val="nil"/>
              <w:bottom w:val="nil"/>
              <w:right w:val="nil"/>
            </w:tcBorders>
            <w:shd w:val="clear" w:color="auto" w:fill="auto"/>
            <w:noWrap/>
            <w:vAlign w:val="center"/>
            <w:hideMark/>
          </w:tcPr>
          <w:p w14:paraId="38F1E294" w14:textId="41719A53" w:rsidR="00665986" w:rsidRPr="008C3457" w:rsidRDefault="00665986">
            <w:pPr>
              <w:jc w:val="right"/>
              <w:rPr>
                <w:color w:val="000000"/>
                <w:sz w:val="16"/>
                <w:szCs w:val="16"/>
              </w:rPr>
            </w:pPr>
            <w:r>
              <w:rPr>
                <w:color w:val="000000"/>
                <w:sz w:val="16"/>
                <w:szCs w:val="16"/>
              </w:rPr>
              <w:t xml:space="preserve">         85 </w:t>
            </w:r>
          </w:p>
        </w:tc>
        <w:tc>
          <w:tcPr>
            <w:tcW w:w="718" w:type="dxa"/>
            <w:tcBorders>
              <w:top w:val="nil"/>
              <w:left w:val="nil"/>
              <w:bottom w:val="nil"/>
              <w:right w:val="nil"/>
            </w:tcBorders>
            <w:shd w:val="clear" w:color="auto" w:fill="auto"/>
            <w:noWrap/>
            <w:vAlign w:val="center"/>
            <w:hideMark/>
          </w:tcPr>
          <w:p w14:paraId="328E2BA5" w14:textId="5D135A50" w:rsidR="00665986" w:rsidRPr="008C3457" w:rsidRDefault="00665986">
            <w:pPr>
              <w:jc w:val="right"/>
              <w:rPr>
                <w:color w:val="000000"/>
                <w:sz w:val="16"/>
                <w:szCs w:val="16"/>
              </w:rPr>
            </w:pPr>
            <w:r>
              <w:rPr>
                <w:color w:val="000000"/>
                <w:sz w:val="16"/>
                <w:szCs w:val="16"/>
              </w:rPr>
              <w:t xml:space="preserve">         93 </w:t>
            </w:r>
          </w:p>
        </w:tc>
        <w:tc>
          <w:tcPr>
            <w:tcW w:w="766" w:type="dxa"/>
            <w:tcBorders>
              <w:top w:val="nil"/>
              <w:left w:val="nil"/>
              <w:bottom w:val="nil"/>
              <w:right w:val="nil"/>
            </w:tcBorders>
            <w:shd w:val="clear" w:color="auto" w:fill="auto"/>
            <w:noWrap/>
            <w:vAlign w:val="center"/>
            <w:hideMark/>
          </w:tcPr>
          <w:p w14:paraId="132D37A7" w14:textId="27B3AB0C" w:rsidR="00665986" w:rsidRPr="008C3457" w:rsidRDefault="00665986">
            <w:pPr>
              <w:jc w:val="right"/>
              <w:rPr>
                <w:color w:val="000000"/>
                <w:sz w:val="16"/>
                <w:szCs w:val="16"/>
              </w:rPr>
            </w:pPr>
            <w:r>
              <w:rPr>
                <w:color w:val="000000"/>
                <w:sz w:val="16"/>
                <w:szCs w:val="16"/>
              </w:rPr>
              <w:t xml:space="preserve">         87 </w:t>
            </w:r>
          </w:p>
        </w:tc>
        <w:tc>
          <w:tcPr>
            <w:tcW w:w="718" w:type="dxa"/>
            <w:tcBorders>
              <w:top w:val="nil"/>
              <w:left w:val="nil"/>
              <w:bottom w:val="nil"/>
              <w:right w:val="nil"/>
            </w:tcBorders>
            <w:shd w:val="clear" w:color="auto" w:fill="auto"/>
            <w:noWrap/>
            <w:vAlign w:val="center"/>
            <w:hideMark/>
          </w:tcPr>
          <w:p w14:paraId="48BCCBEC" w14:textId="7FDFC3C7" w:rsidR="00665986" w:rsidRPr="008C3457" w:rsidRDefault="00665986">
            <w:pPr>
              <w:jc w:val="right"/>
              <w:rPr>
                <w:color w:val="000000"/>
                <w:sz w:val="16"/>
                <w:szCs w:val="16"/>
              </w:rPr>
            </w:pPr>
            <w:r>
              <w:rPr>
                <w:color w:val="000000"/>
                <w:sz w:val="16"/>
                <w:szCs w:val="16"/>
              </w:rPr>
              <w:t xml:space="preserve">         34 </w:t>
            </w:r>
          </w:p>
        </w:tc>
        <w:tc>
          <w:tcPr>
            <w:tcW w:w="718" w:type="dxa"/>
            <w:tcBorders>
              <w:top w:val="nil"/>
              <w:left w:val="nil"/>
              <w:bottom w:val="nil"/>
              <w:right w:val="nil"/>
            </w:tcBorders>
            <w:shd w:val="clear" w:color="auto" w:fill="auto"/>
            <w:noWrap/>
            <w:vAlign w:val="center"/>
            <w:hideMark/>
          </w:tcPr>
          <w:p w14:paraId="0DE7F6CD" w14:textId="56E75995" w:rsidR="00665986" w:rsidRPr="008C3457" w:rsidRDefault="00665986">
            <w:pPr>
              <w:jc w:val="right"/>
              <w:rPr>
                <w:color w:val="000000"/>
                <w:sz w:val="16"/>
                <w:szCs w:val="16"/>
              </w:rPr>
            </w:pPr>
            <w:r>
              <w:rPr>
                <w:color w:val="000000"/>
                <w:sz w:val="16"/>
                <w:szCs w:val="16"/>
              </w:rPr>
              <w:t>-</w:t>
            </w:r>
          </w:p>
        </w:tc>
        <w:tc>
          <w:tcPr>
            <w:tcW w:w="718" w:type="dxa"/>
            <w:tcBorders>
              <w:top w:val="nil"/>
              <w:left w:val="nil"/>
              <w:bottom w:val="nil"/>
              <w:right w:val="nil"/>
            </w:tcBorders>
            <w:shd w:val="clear" w:color="auto" w:fill="auto"/>
            <w:noWrap/>
            <w:vAlign w:val="center"/>
            <w:hideMark/>
          </w:tcPr>
          <w:p w14:paraId="16F3D6B0" w14:textId="1208B851" w:rsidR="00665986" w:rsidRPr="008C3457" w:rsidRDefault="00665986">
            <w:pPr>
              <w:jc w:val="right"/>
              <w:rPr>
                <w:color w:val="000000"/>
                <w:sz w:val="16"/>
                <w:szCs w:val="16"/>
              </w:rPr>
            </w:pPr>
            <w:r>
              <w:rPr>
                <w:color w:val="000000"/>
                <w:sz w:val="16"/>
                <w:szCs w:val="16"/>
              </w:rPr>
              <w:t>-</w:t>
            </w:r>
          </w:p>
        </w:tc>
        <w:tc>
          <w:tcPr>
            <w:tcW w:w="718" w:type="dxa"/>
            <w:tcBorders>
              <w:top w:val="nil"/>
              <w:left w:val="nil"/>
              <w:bottom w:val="nil"/>
              <w:right w:val="nil"/>
            </w:tcBorders>
            <w:shd w:val="clear" w:color="auto" w:fill="auto"/>
            <w:noWrap/>
            <w:vAlign w:val="center"/>
            <w:hideMark/>
          </w:tcPr>
          <w:p w14:paraId="237FEAF7" w14:textId="0CDDEAB2" w:rsidR="00665986" w:rsidRPr="008C3457" w:rsidRDefault="00665986">
            <w:pPr>
              <w:jc w:val="right"/>
              <w:rPr>
                <w:color w:val="000000"/>
                <w:sz w:val="16"/>
                <w:szCs w:val="16"/>
              </w:rPr>
            </w:pPr>
            <w:r>
              <w:rPr>
                <w:color w:val="000000"/>
                <w:sz w:val="16"/>
                <w:szCs w:val="16"/>
              </w:rPr>
              <w:t>-</w:t>
            </w:r>
          </w:p>
        </w:tc>
      </w:tr>
      <w:tr w:rsidR="00665986" w:rsidRPr="008C3457" w14:paraId="30BFBC1F" w14:textId="77777777" w:rsidTr="00F43BE5">
        <w:trPr>
          <w:trHeight w:val="259"/>
        </w:trPr>
        <w:tc>
          <w:tcPr>
            <w:tcW w:w="864" w:type="dxa"/>
            <w:vMerge/>
            <w:tcBorders>
              <w:left w:val="nil"/>
              <w:right w:val="nil"/>
            </w:tcBorders>
            <w:shd w:val="clear" w:color="auto" w:fill="auto"/>
            <w:noWrap/>
            <w:vAlign w:val="center"/>
            <w:hideMark/>
          </w:tcPr>
          <w:p w14:paraId="46AC47D1" w14:textId="77777777" w:rsidR="00665986" w:rsidRPr="008C3457" w:rsidRDefault="00665986">
            <w:pPr>
              <w:jc w:val="center"/>
              <w:rPr>
                <w:color w:val="000000"/>
                <w:sz w:val="16"/>
                <w:szCs w:val="16"/>
              </w:rPr>
            </w:pPr>
          </w:p>
        </w:tc>
        <w:tc>
          <w:tcPr>
            <w:tcW w:w="1397" w:type="dxa"/>
            <w:tcBorders>
              <w:top w:val="nil"/>
              <w:left w:val="nil"/>
              <w:bottom w:val="nil"/>
              <w:right w:val="nil"/>
            </w:tcBorders>
            <w:shd w:val="clear" w:color="auto" w:fill="auto"/>
            <w:noWrap/>
            <w:vAlign w:val="center"/>
            <w:hideMark/>
          </w:tcPr>
          <w:p w14:paraId="5A4BF7D0" w14:textId="77777777" w:rsidR="00665986" w:rsidRPr="008C3457" w:rsidRDefault="00665986">
            <w:pPr>
              <w:jc w:val="right"/>
              <w:rPr>
                <w:b/>
                <w:bCs/>
                <w:color w:val="000000"/>
                <w:sz w:val="16"/>
                <w:szCs w:val="16"/>
              </w:rPr>
            </w:pPr>
            <w:r>
              <w:rPr>
                <w:b/>
                <w:bCs/>
                <w:color w:val="000000"/>
                <w:sz w:val="16"/>
                <w:szCs w:val="16"/>
              </w:rPr>
              <w:t>Débarquements</w:t>
            </w:r>
          </w:p>
        </w:tc>
        <w:tc>
          <w:tcPr>
            <w:tcW w:w="582" w:type="dxa"/>
            <w:tcBorders>
              <w:top w:val="nil"/>
              <w:left w:val="nil"/>
              <w:bottom w:val="nil"/>
              <w:right w:val="nil"/>
            </w:tcBorders>
            <w:shd w:val="clear" w:color="auto" w:fill="auto"/>
            <w:noWrap/>
            <w:vAlign w:val="center"/>
            <w:hideMark/>
          </w:tcPr>
          <w:p w14:paraId="2F6ECD11" w14:textId="69F1B0C8" w:rsidR="00665986" w:rsidRPr="008C3457" w:rsidRDefault="00665986">
            <w:pPr>
              <w:jc w:val="right"/>
              <w:rPr>
                <w:color w:val="000000"/>
                <w:sz w:val="16"/>
                <w:szCs w:val="16"/>
              </w:rPr>
            </w:pPr>
            <w:r>
              <w:rPr>
                <w:color w:val="000000"/>
                <w:sz w:val="16"/>
                <w:szCs w:val="16"/>
              </w:rPr>
              <w:t xml:space="preserve">           1 </w:t>
            </w:r>
          </w:p>
        </w:tc>
        <w:tc>
          <w:tcPr>
            <w:tcW w:w="718" w:type="dxa"/>
            <w:tcBorders>
              <w:top w:val="nil"/>
              <w:left w:val="nil"/>
              <w:bottom w:val="nil"/>
              <w:right w:val="nil"/>
            </w:tcBorders>
            <w:shd w:val="clear" w:color="auto" w:fill="auto"/>
            <w:noWrap/>
            <w:vAlign w:val="center"/>
            <w:hideMark/>
          </w:tcPr>
          <w:p w14:paraId="48BDCB3C" w14:textId="47D736E5" w:rsidR="00665986" w:rsidRPr="008C3457" w:rsidRDefault="00665986">
            <w:pPr>
              <w:jc w:val="right"/>
              <w:rPr>
                <w:color w:val="000000"/>
                <w:sz w:val="16"/>
                <w:szCs w:val="16"/>
              </w:rPr>
            </w:pPr>
            <w:r>
              <w:rPr>
                <w:color w:val="000000"/>
                <w:sz w:val="16"/>
                <w:szCs w:val="16"/>
              </w:rPr>
              <w:t xml:space="preserve">           1 </w:t>
            </w:r>
          </w:p>
        </w:tc>
        <w:tc>
          <w:tcPr>
            <w:tcW w:w="718" w:type="dxa"/>
            <w:tcBorders>
              <w:top w:val="nil"/>
              <w:left w:val="nil"/>
              <w:bottom w:val="nil"/>
              <w:right w:val="nil"/>
            </w:tcBorders>
            <w:shd w:val="clear" w:color="auto" w:fill="auto"/>
            <w:noWrap/>
            <w:vAlign w:val="center"/>
            <w:hideMark/>
          </w:tcPr>
          <w:p w14:paraId="342A9045" w14:textId="12AEAF75" w:rsidR="00665986" w:rsidRPr="008C3457" w:rsidRDefault="00665986">
            <w:pPr>
              <w:jc w:val="right"/>
              <w:rPr>
                <w:color w:val="000000"/>
                <w:sz w:val="16"/>
                <w:szCs w:val="16"/>
              </w:rPr>
            </w:pPr>
            <w:r>
              <w:rPr>
                <w:color w:val="000000"/>
                <w:sz w:val="16"/>
                <w:szCs w:val="16"/>
              </w:rPr>
              <w:t xml:space="preserve">           3 </w:t>
            </w:r>
          </w:p>
        </w:tc>
        <w:tc>
          <w:tcPr>
            <w:tcW w:w="718" w:type="dxa"/>
            <w:tcBorders>
              <w:top w:val="nil"/>
              <w:left w:val="nil"/>
              <w:bottom w:val="nil"/>
              <w:right w:val="nil"/>
            </w:tcBorders>
            <w:shd w:val="clear" w:color="auto" w:fill="auto"/>
            <w:noWrap/>
            <w:vAlign w:val="center"/>
            <w:hideMark/>
          </w:tcPr>
          <w:p w14:paraId="5FED67E1" w14:textId="26F3B1B8" w:rsidR="00665986" w:rsidRPr="008C3457" w:rsidRDefault="00665986">
            <w:pPr>
              <w:jc w:val="right"/>
              <w:rPr>
                <w:color w:val="000000"/>
                <w:sz w:val="16"/>
                <w:szCs w:val="16"/>
              </w:rPr>
            </w:pPr>
            <w:r>
              <w:rPr>
                <w:color w:val="000000"/>
                <w:sz w:val="16"/>
                <w:szCs w:val="16"/>
              </w:rPr>
              <w:t xml:space="preserve">           1 </w:t>
            </w:r>
          </w:p>
        </w:tc>
        <w:tc>
          <w:tcPr>
            <w:tcW w:w="718" w:type="dxa"/>
            <w:tcBorders>
              <w:top w:val="nil"/>
              <w:left w:val="nil"/>
              <w:bottom w:val="nil"/>
              <w:right w:val="nil"/>
            </w:tcBorders>
            <w:shd w:val="clear" w:color="auto" w:fill="auto"/>
            <w:noWrap/>
            <w:vAlign w:val="center"/>
            <w:hideMark/>
          </w:tcPr>
          <w:p w14:paraId="31B70126" w14:textId="01A5BC84" w:rsidR="00665986" w:rsidRPr="008C3457" w:rsidRDefault="00665986">
            <w:pPr>
              <w:jc w:val="right"/>
              <w:rPr>
                <w:color w:val="000000"/>
                <w:sz w:val="16"/>
                <w:szCs w:val="16"/>
              </w:rPr>
            </w:pPr>
            <w:r>
              <w:rPr>
                <w:color w:val="000000"/>
                <w:sz w:val="16"/>
                <w:szCs w:val="16"/>
              </w:rPr>
              <w:t xml:space="preserve"> &lt;1 </w:t>
            </w:r>
          </w:p>
        </w:tc>
        <w:tc>
          <w:tcPr>
            <w:tcW w:w="766" w:type="dxa"/>
            <w:tcBorders>
              <w:top w:val="nil"/>
              <w:left w:val="nil"/>
              <w:bottom w:val="nil"/>
              <w:right w:val="nil"/>
            </w:tcBorders>
            <w:shd w:val="clear" w:color="auto" w:fill="auto"/>
            <w:noWrap/>
            <w:vAlign w:val="center"/>
            <w:hideMark/>
          </w:tcPr>
          <w:p w14:paraId="54B3E38C" w14:textId="335D9588" w:rsidR="00665986" w:rsidRPr="008C3457" w:rsidRDefault="00665986">
            <w:pPr>
              <w:jc w:val="right"/>
              <w:rPr>
                <w:color w:val="000000"/>
                <w:sz w:val="16"/>
                <w:szCs w:val="16"/>
              </w:rPr>
            </w:pPr>
            <w:r>
              <w:rPr>
                <w:color w:val="000000"/>
                <w:sz w:val="16"/>
                <w:szCs w:val="16"/>
              </w:rPr>
              <w:t xml:space="preserve"> &lt;1 </w:t>
            </w:r>
          </w:p>
        </w:tc>
        <w:tc>
          <w:tcPr>
            <w:tcW w:w="718" w:type="dxa"/>
            <w:tcBorders>
              <w:top w:val="nil"/>
              <w:left w:val="nil"/>
              <w:bottom w:val="nil"/>
              <w:right w:val="nil"/>
            </w:tcBorders>
            <w:shd w:val="clear" w:color="auto" w:fill="auto"/>
            <w:noWrap/>
            <w:vAlign w:val="center"/>
            <w:hideMark/>
          </w:tcPr>
          <w:p w14:paraId="142D5C69" w14:textId="773F5A46" w:rsidR="00665986" w:rsidRPr="008C3457" w:rsidRDefault="00665986">
            <w:pPr>
              <w:jc w:val="right"/>
              <w:rPr>
                <w:color w:val="000000"/>
                <w:sz w:val="16"/>
                <w:szCs w:val="16"/>
              </w:rPr>
            </w:pPr>
            <w:r>
              <w:rPr>
                <w:color w:val="000000"/>
                <w:sz w:val="16"/>
                <w:szCs w:val="16"/>
              </w:rPr>
              <w:t>-</w:t>
            </w:r>
          </w:p>
        </w:tc>
        <w:tc>
          <w:tcPr>
            <w:tcW w:w="718" w:type="dxa"/>
            <w:tcBorders>
              <w:top w:val="nil"/>
              <w:left w:val="nil"/>
              <w:bottom w:val="nil"/>
              <w:right w:val="nil"/>
            </w:tcBorders>
            <w:shd w:val="clear" w:color="auto" w:fill="auto"/>
            <w:noWrap/>
            <w:vAlign w:val="center"/>
            <w:hideMark/>
          </w:tcPr>
          <w:p w14:paraId="2B3EE6DC" w14:textId="79B961D3" w:rsidR="00665986" w:rsidRPr="008C3457" w:rsidRDefault="00665986">
            <w:pPr>
              <w:jc w:val="right"/>
              <w:rPr>
                <w:color w:val="000000"/>
                <w:sz w:val="16"/>
                <w:szCs w:val="16"/>
              </w:rPr>
            </w:pPr>
            <w:r>
              <w:rPr>
                <w:color w:val="000000"/>
                <w:sz w:val="16"/>
                <w:szCs w:val="16"/>
              </w:rPr>
              <w:t xml:space="preserve">       414 </w:t>
            </w:r>
          </w:p>
        </w:tc>
        <w:tc>
          <w:tcPr>
            <w:tcW w:w="718" w:type="dxa"/>
            <w:tcBorders>
              <w:top w:val="nil"/>
              <w:left w:val="nil"/>
              <w:bottom w:val="nil"/>
              <w:right w:val="nil"/>
            </w:tcBorders>
            <w:shd w:val="clear" w:color="auto" w:fill="auto"/>
            <w:noWrap/>
            <w:vAlign w:val="center"/>
            <w:hideMark/>
          </w:tcPr>
          <w:p w14:paraId="272B6109" w14:textId="67F8929E" w:rsidR="00665986" w:rsidRPr="008C3457" w:rsidRDefault="00665986">
            <w:pPr>
              <w:jc w:val="right"/>
              <w:rPr>
                <w:color w:val="000000"/>
                <w:sz w:val="16"/>
                <w:szCs w:val="16"/>
              </w:rPr>
            </w:pPr>
            <w:r>
              <w:rPr>
                <w:color w:val="000000"/>
                <w:sz w:val="16"/>
                <w:szCs w:val="16"/>
              </w:rPr>
              <w:t xml:space="preserve"> &lt;1 </w:t>
            </w:r>
          </w:p>
        </w:tc>
        <w:tc>
          <w:tcPr>
            <w:tcW w:w="718" w:type="dxa"/>
            <w:tcBorders>
              <w:top w:val="nil"/>
              <w:left w:val="nil"/>
              <w:bottom w:val="nil"/>
              <w:right w:val="nil"/>
            </w:tcBorders>
            <w:shd w:val="clear" w:color="auto" w:fill="auto"/>
            <w:noWrap/>
            <w:vAlign w:val="center"/>
            <w:hideMark/>
          </w:tcPr>
          <w:p w14:paraId="46366B50" w14:textId="7922AE44" w:rsidR="00665986" w:rsidRPr="008C3457" w:rsidRDefault="00665986">
            <w:pPr>
              <w:jc w:val="right"/>
              <w:rPr>
                <w:color w:val="000000"/>
                <w:sz w:val="16"/>
                <w:szCs w:val="16"/>
              </w:rPr>
            </w:pPr>
            <w:r>
              <w:rPr>
                <w:color w:val="000000"/>
                <w:sz w:val="16"/>
                <w:szCs w:val="16"/>
              </w:rPr>
              <w:t xml:space="preserve">    2 913 </w:t>
            </w:r>
          </w:p>
        </w:tc>
      </w:tr>
      <w:tr w:rsidR="00665986" w:rsidRPr="008C3457" w14:paraId="49F6111C" w14:textId="77777777" w:rsidTr="00F43BE5">
        <w:trPr>
          <w:trHeight w:val="259"/>
        </w:trPr>
        <w:tc>
          <w:tcPr>
            <w:tcW w:w="864" w:type="dxa"/>
            <w:vMerge/>
            <w:tcBorders>
              <w:left w:val="nil"/>
              <w:bottom w:val="nil"/>
              <w:right w:val="nil"/>
            </w:tcBorders>
            <w:shd w:val="clear" w:color="auto" w:fill="auto"/>
            <w:noWrap/>
            <w:vAlign w:val="center"/>
            <w:hideMark/>
          </w:tcPr>
          <w:p w14:paraId="46A0C5DB" w14:textId="77777777" w:rsidR="00665986" w:rsidRPr="008C3457" w:rsidRDefault="00665986">
            <w:pPr>
              <w:jc w:val="center"/>
              <w:rPr>
                <w:color w:val="000000"/>
                <w:sz w:val="16"/>
                <w:szCs w:val="16"/>
              </w:rPr>
            </w:pPr>
          </w:p>
        </w:tc>
        <w:tc>
          <w:tcPr>
            <w:tcW w:w="1397" w:type="dxa"/>
            <w:tcBorders>
              <w:top w:val="nil"/>
              <w:left w:val="nil"/>
              <w:bottom w:val="nil"/>
              <w:right w:val="nil"/>
            </w:tcBorders>
            <w:shd w:val="clear" w:color="auto" w:fill="auto"/>
            <w:noWrap/>
            <w:vAlign w:val="center"/>
            <w:hideMark/>
          </w:tcPr>
          <w:p w14:paraId="20D33F2C" w14:textId="77777777" w:rsidR="00665986" w:rsidRPr="008C3457" w:rsidRDefault="00665986">
            <w:pPr>
              <w:jc w:val="right"/>
              <w:rPr>
                <w:b/>
                <w:bCs/>
                <w:color w:val="000000"/>
                <w:sz w:val="16"/>
                <w:szCs w:val="16"/>
              </w:rPr>
            </w:pPr>
            <w:r>
              <w:rPr>
                <w:b/>
                <w:bCs/>
                <w:color w:val="000000"/>
                <w:sz w:val="16"/>
                <w:szCs w:val="16"/>
              </w:rPr>
              <w:t>Rejets</w:t>
            </w:r>
          </w:p>
        </w:tc>
        <w:tc>
          <w:tcPr>
            <w:tcW w:w="582" w:type="dxa"/>
            <w:tcBorders>
              <w:top w:val="nil"/>
              <w:left w:val="nil"/>
              <w:bottom w:val="nil"/>
              <w:right w:val="nil"/>
            </w:tcBorders>
            <w:shd w:val="clear" w:color="auto" w:fill="auto"/>
            <w:noWrap/>
            <w:vAlign w:val="center"/>
            <w:hideMark/>
          </w:tcPr>
          <w:p w14:paraId="632B41F1" w14:textId="6BE58A07" w:rsidR="00665986" w:rsidRPr="008C3457" w:rsidRDefault="00665986">
            <w:pPr>
              <w:jc w:val="right"/>
              <w:rPr>
                <w:color w:val="000000"/>
                <w:sz w:val="16"/>
                <w:szCs w:val="16"/>
              </w:rPr>
            </w:pPr>
            <w:r>
              <w:rPr>
                <w:color w:val="000000"/>
                <w:sz w:val="16"/>
                <w:szCs w:val="16"/>
              </w:rPr>
              <w:t xml:space="preserve">         39 </w:t>
            </w:r>
          </w:p>
        </w:tc>
        <w:tc>
          <w:tcPr>
            <w:tcW w:w="718" w:type="dxa"/>
            <w:tcBorders>
              <w:top w:val="nil"/>
              <w:left w:val="nil"/>
              <w:bottom w:val="nil"/>
              <w:right w:val="nil"/>
            </w:tcBorders>
            <w:shd w:val="clear" w:color="auto" w:fill="auto"/>
            <w:noWrap/>
            <w:vAlign w:val="center"/>
            <w:hideMark/>
          </w:tcPr>
          <w:p w14:paraId="0D8D94EB" w14:textId="295DC49A" w:rsidR="00665986" w:rsidRPr="008C3457" w:rsidRDefault="00665986">
            <w:pPr>
              <w:jc w:val="right"/>
              <w:rPr>
                <w:color w:val="000000"/>
                <w:sz w:val="16"/>
                <w:szCs w:val="16"/>
              </w:rPr>
            </w:pPr>
            <w:r>
              <w:rPr>
                <w:color w:val="000000"/>
                <w:sz w:val="16"/>
                <w:szCs w:val="16"/>
              </w:rPr>
              <w:t xml:space="preserve">         14 </w:t>
            </w:r>
          </w:p>
        </w:tc>
        <w:tc>
          <w:tcPr>
            <w:tcW w:w="718" w:type="dxa"/>
            <w:tcBorders>
              <w:top w:val="nil"/>
              <w:left w:val="nil"/>
              <w:bottom w:val="nil"/>
              <w:right w:val="nil"/>
            </w:tcBorders>
            <w:shd w:val="clear" w:color="auto" w:fill="auto"/>
            <w:noWrap/>
            <w:vAlign w:val="center"/>
            <w:hideMark/>
          </w:tcPr>
          <w:p w14:paraId="0B96B119" w14:textId="3C6B512F" w:rsidR="00665986" w:rsidRPr="008C3457" w:rsidRDefault="00665986">
            <w:pPr>
              <w:jc w:val="right"/>
              <w:rPr>
                <w:color w:val="000000"/>
                <w:sz w:val="16"/>
                <w:szCs w:val="16"/>
              </w:rPr>
            </w:pPr>
            <w:r>
              <w:rPr>
                <w:color w:val="000000"/>
                <w:sz w:val="16"/>
                <w:szCs w:val="16"/>
              </w:rPr>
              <w:t xml:space="preserve">         11 </w:t>
            </w:r>
          </w:p>
        </w:tc>
        <w:tc>
          <w:tcPr>
            <w:tcW w:w="718" w:type="dxa"/>
            <w:tcBorders>
              <w:top w:val="nil"/>
              <w:left w:val="nil"/>
              <w:bottom w:val="nil"/>
              <w:right w:val="nil"/>
            </w:tcBorders>
            <w:shd w:val="clear" w:color="auto" w:fill="auto"/>
            <w:noWrap/>
            <w:vAlign w:val="center"/>
            <w:hideMark/>
          </w:tcPr>
          <w:p w14:paraId="2F14C8A0" w14:textId="7EAD770C" w:rsidR="00665986" w:rsidRPr="008C3457" w:rsidRDefault="00665986">
            <w:pPr>
              <w:jc w:val="right"/>
              <w:rPr>
                <w:color w:val="000000"/>
                <w:sz w:val="16"/>
                <w:szCs w:val="16"/>
              </w:rPr>
            </w:pPr>
            <w:r>
              <w:rPr>
                <w:color w:val="000000"/>
                <w:sz w:val="16"/>
                <w:szCs w:val="16"/>
              </w:rPr>
              <w:t xml:space="preserve">         10 </w:t>
            </w:r>
          </w:p>
        </w:tc>
        <w:tc>
          <w:tcPr>
            <w:tcW w:w="718" w:type="dxa"/>
            <w:tcBorders>
              <w:top w:val="nil"/>
              <w:left w:val="nil"/>
              <w:bottom w:val="nil"/>
              <w:right w:val="nil"/>
            </w:tcBorders>
            <w:shd w:val="clear" w:color="auto" w:fill="auto"/>
            <w:noWrap/>
            <w:vAlign w:val="center"/>
            <w:hideMark/>
          </w:tcPr>
          <w:p w14:paraId="4B6172F9" w14:textId="727EA98E" w:rsidR="00665986" w:rsidRPr="008C3457" w:rsidRDefault="00665986">
            <w:pPr>
              <w:jc w:val="right"/>
              <w:rPr>
                <w:color w:val="000000"/>
                <w:sz w:val="16"/>
                <w:szCs w:val="16"/>
              </w:rPr>
            </w:pPr>
            <w:r>
              <w:rPr>
                <w:color w:val="000000"/>
                <w:sz w:val="16"/>
                <w:szCs w:val="16"/>
              </w:rPr>
              <w:t xml:space="preserve">           2 </w:t>
            </w:r>
          </w:p>
        </w:tc>
        <w:tc>
          <w:tcPr>
            <w:tcW w:w="766" w:type="dxa"/>
            <w:tcBorders>
              <w:top w:val="nil"/>
              <w:left w:val="nil"/>
              <w:bottom w:val="nil"/>
              <w:right w:val="nil"/>
            </w:tcBorders>
            <w:shd w:val="clear" w:color="auto" w:fill="auto"/>
            <w:noWrap/>
            <w:vAlign w:val="center"/>
            <w:hideMark/>
          </w:tcPr>
          <w:p w14:paraId="748493EB" w14:textId="0C077711" w:rsidR="00665986" w:rsidRPr="008C3457" w:rsidRDefault="00665986">
            <w:pPr>
              <w:jc w:val="right"/>
              <w:rPr>
                <w:color w:val="000000"/>
                <w:sz w:val="16"/>
                <w:szCs w:val="16"/>
              </w:rPr>
            </w:pPr>
            <w:r>
              <w:rPr>
                <w:color w:val="000000"/>
                <w:sz w:val="16"/>
                <w:szCs w:val="16"/>
              </w:rPr>
              <w:t xml:space="preserve">           3 </w:t>
            </w:r>
          </w:p>
        </w:tc>
        <w:tc>
          <w:tcPr>
            <w:tcW w:w="718" w:type="dxa"/>
            <w:tcBorders>
              <w:top w:val="nil"/>
              <w:left w:val="nil"/>
              <w:bottom w:val="nil"/>
              <w:right w:val="nil"/>
            </w:tcBorders>
            <w:shd w:val="clear" w:color="auto" w:fill="auto"/>
            <w:noWrap/>
            <w:vAlign w:val="center"/>
            <w:hideMark/>
          </w:tcPr>
          <w:p w14:paraId="1D2B99EE" w14:textId="1B1D9879" w:rsidR="00665986" w:rsidRPr="008C3457" w:rsidRDefault="00665986">
            <w:pPr>
              <w:jc w:val="right"/>
              <w:rPr>
                <w:color w:val="000000"/>
                <w:sz w:val="16"/>
                <w:szCs w:val="16"/>
              </w:rPr>
            </w:pPr>
            <w:r>
              <w:rPr>
                <w:color w:val="000000"/>
                <w:sz w:val="16"/>
                <w:szCs w:val="16"/>
              </w:rPr>
              <w:t>-</w:t>
            </w:r>
          </w:p>
        </w:tc>
        <w:tc>
          <w:tcPr>
            <w:tcW w:w="718" w:type="dxa"/>
            <w:tcBorders>
              <w:top w:val="nil"/>
              <w:left w:val="nil"/>
              <w:bottom w:val="nil"/>
              <w:right w:val="nil"/>
            </w:tcBorders>
            <w:shd w:val="clear" w:color="auto" w:fill="auto"/>
            <w:noWrap/>
            <w:vAlign w:val="center"/>
            <w:hideMark/>
          </w:tcPr>
          <w:p w14:paraId="2CBD072B" w14:textId="7295C3A2" w:rsidR="00665986" w:rsidRPr="008C3457" w:rsidRDefault="00665986">
            <w:pPr>
              <w:jc w:val="right"/>
              <w:rPr>
                <w:color w:val="000000"/>
                <w:sz w:val="16"/>
                <w:szCs w:val="16"/>
              </w:rPr>
            </w:pPr>
            <w:r>
              <w:rPr>
                <w:color w:val="000000"/>
                <w:sz w:val="16"/>
                <w:szCs w:val="16"/>
              </w:rPr>
              <w:t xml:space="preserve">       410 </w:t>
            </w:r>
          </w:p>
        </w:tc>
        <w:tc>
          <w:tcPr>
            <w:tcW w:w="718" w:type="dxa"/>
            <w:tcBorders>
              <w:top w:val="nil"/>
              <w:left w:val="nil"/>
              <w:bottom w:val="nil"/>
              <w:right w:val="nil"/>
            </w:tcBorders>
            <w:shd w:val="clear" w:color="auto" w:fill="auto"/>
            <w:noWrap/>
            <w:vAlign w:val="center"/>
            <w:hideMark/>
          </w:tcPr>
          <w:p w14:paraId="6AC8CFF0" w14:textId="057023A2" w:rsidR="00665986" w:rsidRPr="008C3457" w:rsidRDefault="00665986">
            <w:pPr>
              <w:jc w:val="right"/>
              <w:rPr>
                <w:color w:val="000000"/>
                <w:sz w:val="16"/>
                <w:szCs w:val="16"/>
              </w:rPr>
            </w:pPr>
            <w:r>
              <w:rPr>
                <w:color w:val="000000"/>
                <w:sz w:val="16"/>
                <w:szCs w:val="16"/>
              </w:rPr>
              <w:t xml:space="preserve">           2 </w:t>
            </w:r>
          </w:p>
        </w:tc>
        <w:tc>
          <w:tcPr>
            <w:tcW w:w="718" w:type="dxa"/>
            <w:tcBorders>
              <w:top w:val="nil"/>
              <w:left w:val="nil"/>
              <w:bottom w:val="nil"/>
              <w:right w:val="nil"/>
            </w:tcBorders>
            <w:shd w:val="clear" w:color="auto" w:fill="auto"/>
            <w:noWrap/>
            <w:vAlign w:val="center"/>
            <w:hideMark/>
          </w:tcPr>
          <w:p w14:paraId="34DE29CB" w14:textId="2258603D" w:rsidR="00665986" w:rsidRPr="008C3457" w:rsidRDefault="00665986">
            <w:pPr>
              <w:jc w:val="right"/>
              <w:rPr>
                <w:color w:val="000000"/>
                <w:sz w:val="16"/>
                <w:szCs w:val="16"/>
              </w:rPr>
            </w:pPr>
            <w:r>
              <w:rPr>
                <w:color w:val="000000"/>
                <w:sz w:val="16"/>
                <w:szCs w:val="16"/>
              </w:rPr>
              <w:t xml:space="preserve">       815 </w:t>
            </w:r>
          </w:p>
        </w:tc>
      </w:tr>
      <w:tr w:rsidR="00665986" w:rsidRPr="008C3457" w14:paraId="21413ABD" w14:textId="77777777" w:rsidTr="00665986">
        <w:trPr>
          <w:trHeight w:val="259"/>
        </w:trPr>
        <w:tc>
          <w:tcPr>
            <w:tcW w:w="864" w:type="dxa"/>
            <w:vMerge w:val="restart"/>
            <w:tcBorders>
              <w:top w:val="nil"/>
              <w:left w:val="nil"/>
              <w:right w:val="nil"/>
            </w:tcBorders>
            <w:shd w:val="clear" w:color="auto" w:fill="auto"/>
            <w:noWrap/>
            <w:hideMark/>
          </w:tcPr>
          <w:p w14:paraId="7FFB3A22" w14:textId="77777777" w:rsidR="00665986" w:rsidRPr="008C3457" w:rsidRDefault="00665986" w:rsidP="00665986">
            <w:pPr>
              <w:jc w:val="center"/>
              <w:rPr>
                <w:b/>
                <w:bCs/>
                <w:color w:val="000000"/>
                <w:sz w:val="16"/>
                <w:szCs w:val="16"/>
              </w:rPr>
            </w:pPr>
            <w:r>
              <w:rPr>
                <w:b/>
                <w:bCs/>
                <w:color w:val="000000"/>
                <w:sz w:val="16"/>
                <w:szCs w:val="16"/>
              </w:rPr>
              <w:t>É.-U.</w:t>
            </w:r>
            <w:r>
              <w:rPr>
                <w:b/>
                <w:bCs/>
                <w:color w:val="000000"/>
                <w:sz w:val="16"/>
                <w:szCs w:val="16"/>
                <w:vertAlign w:val="superscript"/>
              </w:rPr>
              <w:t>2</w:t>
            </w:r>
          </w:p>
        </w:tc>
        <w:tc>
          <w:tcPr>
            <w:tcW w:w="1397" w:type="dxa"/>
            <w:tcBorders>
              <w:top w:val="nil"/>
              <w:left w:val="nil"/>
              <w:bottom w:val="nil"/>
              <w:right w:val="nil"/>
            </w:tcBorders>
            <w:shd w:val="clear" w:color="auto" w:fill="auto"/>
            <w:noWrap/>
            <w:vAlign w:val="center"/>
            <w:hideMark/>
          </w:tcPr>
          <w:p w14:paraId="63F217D2" w14:textId="3B84A61E" w:rsidR="00665986" w:rsidRPr="008C3457" w:rsidRDefault="00665986">
            <w:pPr>
              <w:jc w:val="right"/>
              <w:rPr>
                <w:b/>
                <w:bCs/>
                <w:color w:val="000000"/>
                <w:sz w:val="16"/>
                <w:szCs w:val="16"/>
              </w:rPr>
            </w:pPr>
            <w:r>
              <w:rPr>
                <w:b/>
                <w:bCs/>
                <w:color w:val="000000"/>
                <w:sz w:val="16"/>
                <w:szCs w:val="16"/>
              </w:rPr>
              <w:t>Quota</w:t>
            </w:r>
            <w:r>
              <w:rPr>
                <w:b/>
                <w:bCs/>
                <w:color w:val="000000"/>
                <w:sz w:val="16"/>
                <w:szCs w:val="16"/>
                <w:vertAlign w:val="superscript"/>
              </w:rPr>
              <w:t>3</w:t>
            </w:r>
          </w:p>
        </w:tc>
        <w:tc>
          <w:tcPr>
            <w:tcW w:w="582" w:type="dxa"/>
            <w:tcBorders>
              <w:top w:val="nil"/>
              <w:left w:val="nil"/>
              <w:bottom w:val="nil"/>
              <w:right w:val="nil"/>
            </w:tcBorders>
            <w:shd w:val="clear" w:color="auto" w:fill="auto"/>
            <w:noWrap/>
            <w:vAlign w:val="center"/>
            <w:hideMark/>
          </w:tcPr>
          <w:p w14:paraId="5988BBAA" w14:textId="09A01318" w:rsidR="00665986" w:rsidRPr="008C3457" w:rsidRDefault="00665986">
            <w:pPr>
              <w:jc w:val="right"/>
              <w:rPr>
                <w:color w:val="000000"/>
                <w:sz w:val="16"/>
                <w:szCs w:val="16"/>
              </w:rPr>
            </w:pPr>
            <w:r>
              <w:rPr>
                <w:color w:val="000000"/>
                <w:sz w:val="16"/>
                <w:szCs w:val="16"/>
              </w:rPr>
              <w:t xml:space="preserve">       215 </w:t>
            </w:r>
          </w:p>
        </w:tc>
        <w:tc>
          <w:tcPr>
            <w:tcW w:w="718" w:type="dxa"/>
            <w:tcBorders>
              <w:top w:val="nil"/>
              <w:left w:val="nil"/>
              <w:bottom w:val="nil"/>
              <w:right w:val="nil"/>
            </w:tcBorders>
            <w:shd w:val="clear" w:color="auto" w:fill="auto"/>
            <w:noWrap/>
            <w:vAlign w:val="center"/>
            <w:hideMark/>
          </w:tcPr>
          <w:p w14:paraId="6D944392" w14:textId="439F269D" w:rsidR="00665986" w:rsidRPr="008C3457" w:rsidRDefault="00665986">
            <w:pPr>
              <w:jc w:val="right"/>
              <w:rPr>
                <w:color w:val="000000"/>
                <w:sz w:val="16"/>
                <w:szCs w:val="16"/>
              </w:rPr>
            </w:pPr>
            <w:r>
              <w:rPr>
                <w:color w:val="000000"/>
                <w:sz w:val="16"/>
                <w:szCs w:val="16"/>
              </w:rPr>
              <w:t xml:space="preserve">       328 </w:t>
            </w:r>
          </w:p>
        </w:tc>
        <w:tc>
          <w:tcPr>
            <w:tcW w:w="718" w:type="dxa"/>
            <w:tcBorders>
              <w:top w:val="nil"/>
              <w:left w:val="nil"/>
              <w:bottom w:val="nil"/>
              <w:right w:val="nil"/>
            </w:tcBorders>
            <w:shd w:val="clear" w:color="auto" w:fill="auto"/>
            <w:noWrap/>
            <w:vAlign w:val="center"/>
            <w:hideMark/>
          </w:tcPr>
          <w:p w14:paraId="6BF11792" w14:textId="4F3212D7" w:rsidR="00665986" w:rsidRPr="008C3457" w:rsidRDefault="00665986">
            <w:pPr>
              <w:jc w:val="right"/>
              <w:rPr>
                <w:color w:val="000000"/>
                <w:sz w:val="16"/>
                <w:szCs w:val="16"/>
              </w:rPr>
            </w:pPr>
            <w:r>
              <w:rPr>
                <w:color w:val="000000"/>
                <w:sz w:val="16"/>
                <w:szCs w:val="16"/>
              </w:rPr>
              <w:t xml:space="preserve">       248 </w:t>
            </w:r>
          </w:p>
        </w:tc>
        <w:tc>
          <w:tcPr>
            <w:tcW w:w="718" w:type="dxa"/>
            <w:tcBorders>
              <w:top w:val="nil"/>
              <w:left w:val="nil"/>
              <w:bottom w:val="nil"/>
              <w:right w:val="nil"/>
            </w:tcBorders>
            <w:shd w:val="clear" w:color="auto" w:fill="auto"/>
            <w:noWrap/>
            <w:vAlign w:val="center"/>
            <w:hideMark/>
          </w:tcPr>
          <w:p w14:paraId="1B222CA9" w14:textId="3DB92FB5" w:rsidR="00665986" w:rsidRPr="008C3457" w:rsidRDefault="00665986">
            <w:pPr>
              <w:jc w:val="right"/>
              <w:rPr>
                <w:color w:val="000000"/>
                <w:sz w:val="16"/>
                <w:szCs w:val="16"/>
              </w:rPr>
            </w:pPr>
            <w:r>
              <w:rPr>
                <w:color w:val="000000"/>
                <w:sz w:val="16"/>
                <w:szCs w:val="16"/>
              </w:rPr>
              <w:t xml:space="preserve">       269 </w:t>
            </w:r>
          </w:p>
        </w:tc>
        <w:tc>
          <w:tcPr>
            <w:tcW w:w="718" w:type="dxa"/>
            <w:tcBorders>
              <w:top w:val="nil"/>
              <w:left w:val="nil"/>
              <w:bottom w:val="nil"/>
              <w:right w:val="nil"/>
            </w:tcBorders>
            <w:shd w:val="clear" w:color="auto" w:fill="auto"/>
            <w:noWrap/>
            <w:vAlign w:val="center"/>
            <w:hideMark/>
          </w:tcPr>
          <w:p w14:paraId="0918032C" w14:textId="280565E4" w:rsidR="00665986" w:rsidRPr="008C3457" w:rsidRDefault="00665986">
            <w:pPr>
              <w:jc w:val="right"/>
              <w:rPr>
                <w:color w:val="000000"/>
                <w:sz w:val="16"/>
                <w:szCs w:val="16"/>
              </w:rPr>
            </w:pPr>
            <w:r>
              <w:rPr>
                <w:color w:val="000000"/>
                <w:sz w:val="16"/>
                <w:szCs w:val="16"/>
              </w:rPr>
              <w:t xml:space="preserve">       207 </w:t>
            </w:r>
          </w:p>
        </w:tc>
        <w:tc>
          <w:tcPr>
            <w:tcW w:w="766" w:type="dxa"/>
            <w:tcBorders>
              <w:top w:val="nil"/>
              <w:left w:val="nil"/>
              <w:bottom w:val="nil"/>
              <w:right w:val="nil"/>
            </w:tcBorders>
            <w:shd w:val="clear" w:color="auto" w:fill="auto"/>
            <w:noWrap/>
            <w:vAlign w:val="center"/>
            <w:hideMark/>
          </w:tcPr>
          <w:p w14:paraId="793E762A" w14:textId="35E89217" w:rsidR="00665986" w:rsidRPr="008C3457" w:rsidRDefault="00665986">
            <w:pPr>
              <w:jc w:val="right"/>
              <w:rPr>
                <w:color w:val="000000"/>
                <w:sz w:val="16"/>
                <w:szCs w:val="16"/>
              </w:rPr>
            </w:pPr>
            <w:r>
              <w:rPr>
                <w:color w:val="000000"/>
                <w:sz w:val="16"/>
                <w:szCs w:val="16"/>
              </w:rPr>
              <w:t xml:space="preserve">       213 </w:t>
            </w:r>
          </w:p>
        </w:tc>
        <w:tc>
          <w:tcPr>
            <w:tcW w:w="718" w:type="dxa"/>
            <w:tcBorders>
              <w:top w:val="nil"/>
              <w:left w:val="nil"/>
              <w:bottom w:val="nil"/>
              <w:right w:val="nil"/>
            </w:tcBorders>
            <w:shd w:val="clear" w:color="auto" w:fill="auto"/>
            <w:noWrap/>
            <w:vAlign w:val="center"/>
            <w:hideMark/>
          </w:tcPr>
          <w:p w14:paraId="6C481886" w14:textId="50958EDF" w:rsidR="00665986" w:rsidRPr="008C3457" w:rsidRDefault="00665986">
            <w:pPr>
              <w:jc w:val="right"/>
              <w:rPr>
                <w:color w:val="000000"/>
                <w:sz w:val="16"/>
                <w:szCs w:val="16"/>
              </w:rPr>
            </w:pPr>
            <w:r>
              <w:rPr>
                <w:color w:val="000000"/>
                <w:sz w:val="16"/>
                <w:szCs w:val="16"/>
              </w:rPr>
              <w:t xml:space="preserve">       106 </w:t>
            </w:r>
          </w:p>
        </w:tc>
        <w:tc>
          <w:tcPr>
            <w:tcW w:w="718" w:type="dxa"/>
            <w:tcBorders>
              <w:top w:val="nil"/>
              <w:left w:val="nil"/>
              <w:bottom w:val="nil"/>
              <w:right w:val="nil"/>
            </w:tcBorders>
            <w:shd w:val="clear" w:color="auto" w:fill="auto"/>
            <w:noWrap/>
            <w:vAlign w:val="center"/>
            <w:hideMark/>
          </w:tcPr>
          <w:p w14:paraId="24E1C2D8" w14:textId="303FEEC0" w:rsidR="00665986" w:rsidRPr="008C3457" w:rsidRDefault="00665986">
            <w:pPr>
              <w:jc w:val="right"/>
              <w:rPr>
                <w:color w:val="000000"/>
                <w:sz w:val="16"/>
                <w:szCs w:val="16"/>
              </w:rPr>
            </w:pPr>
            <w:r>
              <w:rPr>
                <w:color w:val="000000"/>
                <w:sz w:val="16"/>
                <w:szCs w:val="16"/>
              </w:rPr>
              <w:t>-</w:t>
            </w:r>
          </w:p>
        </w:tc>
        <w:tc>
          <w:tcPr>
            <w:tcW w:w="718" w:type="dxa"/>
            <w:tcBorders>
              <w:top w:val="nil"/>
              <w:left w:val="nil"/>
              <w:bottom w:val="nil"/>
              <w:right w:val="nil"/>
            </w:tcBorders>
            <w:shd w:val="clear" w:color="auto" w:fill="auto"/>
            <w:noWrap/>
            <w:vAlign w:val="center"/>
            <w:hideMark/>
          </w:tcPr>
          <w:p w14:paraId="03FC9D2F" w14:textId="54F53DC6" w:rsidR="00665986" w:rsidRPr="008C3457" w:rsidRDefault="00665986">
            <w:pPr>
              <w:jc w:val="right"/>
              <w:rPr>
                <w:color w:val="000000"/>
                <w:sz w:val="16"/>
                <w:szCs w:val="16"/>
              </w:rPr>
            </w:pPr>
            <w:r>
              <w:rPr>
                <w:color w:val="000000"/>
                <w:sz w:val="16"/>
                <w:szCs w:val="16"/>
              </w:rPr>
              <w:t>-</w:t>
            </w:r>
          </w:p>
        </w:tc>
        <w:tc>
          <w:tcPr>
            <w:tcW w:w="718" w:type="dxa"/>
            <w:tcBorders>
              <w:top w:val="nil"/>
              <w:left w:val="nil"/>
              <w:bottom w:val="nil"/>
              <w:right w:val="nil"/>
            </w:tcBorders>
            <w:shd w:val="clear" w:color="auto" w:fill="auto"/>
            <w:noWrap/>
            <w:vAlign w:val="center"/>
            <w:hideMark/>
          </w:tcPr>
          <w:p w14:paraId="0D26B6D8" w14:textId="06867FF3" w:rsidR="00665986" w:rsidRPr="008C3457" w:rsidRDefault="00665986">
            <w:pPr>
              <w:jc w:val="right"/>
              <w:rPr>
                <w:color w:val="000000"/>
                <w:sz w:val="16"/>
                <w:szCs w:val="16"/>
              </w:rPr>
            </w:pPr>
            <w:r>
              <w:rPr>
                <w:color w:val="000000"/>
                <w:sz w:val="16"/>
                <w:szCs w:val="16"/>
              </w:rPr>
              <w:t>-</w:t>
            </w:r>
          </w:p>
        </w:tc>
      </w:tr>
      <w:tr w:rsidR="00665986" w:rsidRPr="008C3457" w14:paraId="59BD3067" w14:textId="77777777" w:rsidTr="00055FA1">
        <w:trPr>
          <w:trHeight w:val="259"/>
        </w:trPr>
        <w:tc>
          <w:tcPr>
            <w:tcW w:w="864" w:type="dxa"/>
            <w:vMerge/>
            <w:tcBorders>
              <w:left w:val="nil"/>
              <w:right w:val="nil"/>
            </w:tcBorders>
            <w:shd w:val="clear" w:color="auto" w:fill="auto"/>
            <w:noWrap/>
            <w:vAlign w:val="center"/>
            <w:hideMark/>
          </w:tcPr>
          <w:p w14:paraId="5E7715F6" w14:textId="77777777" w:rsidR="00665986" w:rsidRPr="008C3457" w:rsidRDefault="00665986">
            <w:pPr>
              <w:jc w:val="center"/>
              <w:rPr>
                <w:color w:val="000000"/>
                <w:sz w:val="16"/>
                <w:szCs w:val="16"/>
              </w:rPr>
            </w:pPr>
          </w:p>
        </w:tc>
        <w:tc>
          <w:tcPr>
            <w:tcW w:w="1397" w:type="dxa"/>
            <w:tcBorders>
              <w:top w:val="nil"/>
              <w:left w:val="nil"/>
              <w:bottom w:val="nil"/>
              <w:right w:val="nil"/>
            </w:tcBorders>
            <w:shd w:val="clear" w:color="auto" w:fill="auto"/>
            <w:noWrap/>
            <w:vAlign w:val="center"/>
            <w:hideMark/>
          </w:tcPr>
          <w:p w14:paraId="19926C24" w14:textId="09317BB4" w:rsidR="00665986" w:rsidRPr="008C3457" w:rsidRDefault="00665986">
            <w:pPr>
              <w:jc w:val="right"/>
              <w:rPr>
                <w:b/>
                <w:bCs/>
                <w:color w:val="000000"/>
                <w:sz w:val="16"/>
                <w:szCs w:val="16"/>
              </w:rPr>
            </w:pPr>
            <w:r>
              <w:rPr>
                <w:b/>
                <w:bCs/>
                <w:color w:val="000000"/>
                <w:sz w:val="16"/>
                <w:szCs w:val="16"/>
              </w:rPr>
              <w:t>Prises</w:t>
            </w:r>
            <w:r>
              <w:rPr>
                <w:b/>
                <w:bCs/>
                <w:color w:val="000000"/>
                <w:sz w:val="16"/>
                <w:szCs w:val="16"/>
                <w:vertAlign w:val="superscript"/>
              </w:rPr>
              <w:t>3</w:t>
            </w:r>
          </w:p>
        </w:tc>
        <w:tc>
          <w:tcPr>
            <w:tcW w:w="582" w:type="dxa"/>
            <w:tcBorders>
              <w:top w:val="nil"/>
              <w:left w:val="nil"/>
              <w:bottom w:val="nil"/>
              <w:right w:val="nil"/>
            </w:tcBorders>
            <w:shd w:val="clear" w:color="auto" w:fill="auto"/>
            <w:noWrap/>
            <w:vAlign w:val="center"/>
            <w:hideMark/>
          </w:tcPr>
          <w:p w14:paraId="214B5887" w14:textId="797678F4" w:rsidR="00665986" w:rsidRPr="008C3457" w:rsidRDefault="00665986">
            <w:pPr>
              <w:jc w:val="right"/>
              <w:rPr>
                <w:color w:val="000000"/>
                <w:sz w:val="16"/>
                <w:szCs w:val="16"/>
              </w:rPr>
            </w:pPr>
            <w:r>
              <w:rPr>
                <w:color w:val="000000"/>
                <w:sz w:val="16"/>
                <w:szCs w:val="16"/>
              </w:rPr>
              <w:t xml:space="preserve">         93 </w:t>
            </w:r>
          </w:p>
        </w:tc>
        <w:tc>
          <w:tcPr>
            <w:tcW w:w="718" w:type="dxa"/>
            <w:tcBorders>
              <w:top w:val="nil"/>
              <w:left w:val="nil"/>
              <w:bottom w:val="nil"/>
              <w:right w:val="nil"/>
            </w:tcBorders>
            <w:shd w:val="clear" w:color="auto" w:fill="auto"/>
            <w:noWrap/>
            <w:vAlign w:val="center"/>
            <w:hideMark/>
          </w:tcPr>
          <w:p w14:paraId="628FF667" w14:textId="3087621E" w:rsidR="00665986" w:rsidRPr="008C3457" w:rsidRDefault="00665986">
            <w:pPr>
              <w:jc w:val="right"/>
              <w:rPr>
                <w:color w:val="000000"/>
                <w:sz w:val="16"/>
                <w:szCs w:val="16"/>
              </w:rPr>
            </w:pPr>
            <w:r>
              <w:rPr>
                <w:color w:val="000000"/>
                <w:sz w:val="16"/>
                <w:szCs w:val="16"/>
              </w:rPr>
              <w:t xml:space="preserve">       122 </w:t>
            </w:r>
          </w:p>
        </w:tc>
        <w:tc>
          <w:tcPr>
            <w:tcW w:w="718" w:type="dxa"/>
            <w:tcBorders>
              <w:top w:val="nil"/>
              <w:left w:val="nil"/>
              <w:bottom w:val="nil"/>
              <w:right w:val="nil"/>
            </w:tcBorders>
            <w:shd w:val="clear" w:color="auto" w:fill="auto"/>
            <w:noWrap/>
            <w:vAlign w:val="center"/>
            <w:hideMark/>
          </w:tcPr>
          <w:p w14:paraId="47ECB292" w14:textId="2F06B004" w:rsidR="00665986" w:rsidRPr="008C3457" w:rsidRDefault="00665986">
            <w:pPr>
              <w:jc w:val="right"/>
              <w:rPr>
                <w:color w:val="000000"/>
                <w:sz w:val="16"/>
                <w:szCs w:val="16"/>
              </w:rPr>
            </w:pPr>
            <w:r>
              <w:rPr>
                <w:color w:val="000000"/>
                <w:sz w:val="16"/>
                <w:szCs w:val="16"/>
              </w:rPr>
              <w:t xml:space="preserve">         68 </w:t>
            </w:r>
          </w:p>
        </w:tc>
        <w:tc>
          <w:tcPr>
            <w:tcW w:w="718" w:type="dxa"/>
            <w:tcBorders>
              <w:top w:val="nil"/>
              <w:left w:val="nil"/>
              <w:bottom w:val="nil"/>
              <w:right w:val="nil"/>
            </w:tcBorders>
            <w:shd w:val="clear" w:color="auto" w:fill="auto"/>
            <w:noWrap/>
            <w:vAlign w:val="center"/>
            <w:hideMark/>
          </w:tcPr>
          <w:p w14:paraId="5E8B6D1E" w14:textId="16B38EA9" w:rsidR="00665986" w:rsidRPr="008C3457" w:rsidRDefault="00665986">
            <w:pPr>
              <w:jc w:val="right"/>
              <w:rPr>
                <w:color w:val="000000"/>
                <w:sz w:val="16"/>
                <w:szCs w:val="16"/>
              </w:rPr>
            </w:pPr>
            <w:r>
              <w:rPr>
                <w:color w:val="000000"/>
                <w:sz w:val="16"/>
                <w:szCs w:val="16"/>
              </w:rPr>
              <w:t xml:space="preserve">         26 </w:t>
            </w:r>
          </w:p>
        </w:tc>
        <w:tc>
          <w:tcPr>
            <w:tcW w:w="718" w:type="dxa"/>
            <w:tcBorders>
              <w:top w:val="nil"/>
              <w:left w:val="nil"/>
              <w:bottom w:val="nil"/>
              <w:right w:val="nil"/>
            </w:tcBorders>
            <w:shd w:val="clear" w:color="auto" w:fill="auto"/>
            <w:noWrap/>
            <w:vAlign w:val="center"/>
            <w:hideMark/>
          </w:tcPr>
          <w:p w14:paraId="25E60F30" w14:textId="70B31431" w:rsidR="00665986" w:rsidRPr="008C3457" w:rsidRDefault="00665986">
            <w:pPr>
              <w:jc w:val="right"/>
              <w:rPr>
                <w:color w:val="000000"/>
                <w:sz w:val="16"/>
                <w:szCs w:val="16"/>
              </w:rPr>
            </w:pPr>
            <w:r>
              <w:rPr>
                <w:color w:val="000000"/>
                <w:sz w:val="16"/>
                <w:szCs w:val="16"/>
              </w:rPr>
              <w:t xml:space="preserve">         84 </w:t>
            </w:r>
          </w:p>
        </w:tc>
        <w:tc>
          <w:tcPr>
            <w:tcW w:w="766" w:type="dxa"/>
            <w:tcBorders>
              <w:top w:val="nil"/>
              <w:left w:val="nil"/>
              <w:bottom w:val="nil"/>
              <w:right w:val="nil"/>
            </w:tcBorders>
            <w:shd w:val="clear" w:color="auto" w:fill="auto"/>
            <w:noWrap/>
            <w:vAlign w:val="center"/>
            <w:hideMark/>
          </w:tcPr>
          <w:p w14:paraId="05E15E83" w14:textId="21E66598" w:rsidR="00665986" w:rsidRPr="008C3457" w:rsidRDefault="00665986">
            <w:pPr>
              <w:jc w:val="right"/>
              <w:rPr>
                <w:color w:val="000000"/>
                <w:sz w:val="16"/>
                <w:szCs w:val="16"/>
              </w:rPr>
            </w:pPr>
            <w:r>
              <w:rPr>
                <w:color w:val="000000"/>
                <w:sz w:val="16"/>
                <w:szCs w:val="16"/>
              </w:rPr>
              <w:t xml:space="preserve">         40</w:t>
            </w:r>
            <w:r>
              <w:rPr>
                <w:color w:val="000000"/>
                <w:sz w:val="16"/>
                <w:szCs w:val="16"/>
                <w:vertAlign w:val="superscript"/>
              </w:rPr>
              <w:t>4</w:t>
            </w:r>
            <w:r>
              <w:rPr>
                <w:color w:val="000000"/>
                <w:sz w:val="16"/>
                <w:szCs w:val="16"/>
              </w:rPr>
              <w:t xml:space="preserve"> </w:t>
            </w:r>
          </w:p>
        </w:tc>
        <w:tc>
          <w:tcPr>
            <w:tcW w:w="718" w:type="dxa"/>
            <w:tcBorders>
              <w:top w:val="nil"/>
              <w:left w:val="nil"/>
              <w:bottom w:val="nil"/>
              <w:right w:val="nil"/>
            </w:tcBorders>
            <w:shd w:val="clear" w:color="auto" w:fill="auto"/>
            <w:noWrap/>
            <w:vAlign w:val="center"/>
            <w:hideMark/>
          </w:tcPr>
          <w:p w14:paraId="31F3724D" w14:textId="4C3F44B4" w:rsidR="00665986" w:rsidRPr="008C3457" w:rsidRDefault="00665986">
            <w:pPr>
              <w:jc w:val="right"/>
              <w:rPr>
                <w:color w:val="000000"/>
                <w:sz w:val="16"/>
                <w:szCs w:val="16"/>
              </w:rPr>
            </w:pPr>
            <w:r>
              <w:rPr>
                <w:color w:val="000000"/>
                <w:sz w:val="16"/>
                <w:szCs w:val="16"/>
              </w:rPr>
              <w:t>-</w:t>
            </w:r>
          </w:p>
        </w:tc>
        <w:tc>
          <w:tcPr>
            <w:tcW w:w="718" w:type="dxa"/>
            <w:tcBorders>
              <w:top w:val="nil"/>
              <w:left w:val="nil"/>
              <w:bottom w:val="nil"/>
              <w:right w:val="nil"/>
            </w:tcBorders>
            <w:shd w:val="clear" w:color="auto" w:fill="auto"/>
            <w:noWrap/>
            <w:vAlign w:val="center"/>
            <w:hideMark/>
          </w:tcPr>
          <w:p w14:paraId="6374BBFA" w14:textId="1EBF073A" w:rsidR="00665986" w:rsidRPr="008C3457" w:rsidRDefault="00665986">
            <w:pPr>
              <w:jc w:val="right"/>
              <w:rPr>
                <w:color w:val="000000"/>
                <w:sz w:val="16"/>
                <w:szCs w:val="16"/>
              </w:rPr>
            </w:pPr>
            <w:r>
              <w:rPr>
                <w:color w:val="000000"/>
                <w:sz w:val="16"/>
                <w:szCs w:val="16"/>
              </w:rPr>
              <w:t>-</w:t>
            </w:r>
          </w:p>
        </w:tc>
        <w:tc>
          <w:tcPr>
            <w:tcW w:w="718" w:type="dxa"/>
            <w:tcBorders>
              <w:top w:val="nil"/>
              <w:left w:val="nil"/>
              <w:bottom w:val="nil"/>
              <w:right w:val="nil"/>
            </w:tcBorders>
            <w:shd w:val="clear" w:color="auto" w:fill="auto"/>
            <w:noWrap/>
            <w:vAlign w:val="center"/>
            <w:hideMark/>
          </w:tcPr>
          <w:p w14:paraId="105C5504" w14:textId="16D8B79C" w:rsidR="00665986" w:rsidRPr="008C3457" w:rsidRDefault="00665986">
            <w:pPr>
              <w:jc w:val="right"/>
              <w:rPr>
                <w:color w:val="000000"/>
                <w:sz w:val="16"/>
                <w:szCs w:val="16"/>
              </w:rPr>
            </w:pPr>
            <w:r>
              <w:rPr>
                <w:color w:val="000000"/>
                <w:sz w:val="16"/>
                <w:szCs w:val="16"/>
              </w:rPr>
              <w:t>-</w:t>
            </w:r>
          </w:p>
        </w:tc>
        <w:tc>
          <w:tcPr>
            <w:tcW w:w="718" w:type="dxa"/>
            <w:tcBorders>
              <w:top w:val="nil"/>
              <w:left w:val="nil"/>
              <w:bottom w:val="nil"/>
              <w:right w:val="nil"/>
            </w:tcBorders>
            <w:shd w:val="clear" w:color="auto" w:fill="auto"/>
            <w:noWrap/>
            <w:vAlign w:val="center"/>
            <w:hideMark/>
          </w:tcPr>
          <w:p w14:paraId="41364335" w14:textId="7683B9C6" w:rsidR="00665986" w:rsidRPr="008C3457" w:rsidRDefault="00665986">
            <w:pPr>
              <w:jc w:val="right"/>
              <w:rPr>
                <w:color w:val="000000"/>
                <w:sz w:val="16"/>
                <w:szCs w:val="16"/>
              </w:rPr>
            </w:pPr>
            <w:r>
              <w:rPr>
                <w:color w:val="000000"/>
                <w:sz w:val="16"/>
                <w:szCs w:val="16"/>
              </w:rPr>
              <w:t>-</w:t>
            </w:r>
          </w:p>
        </w:tc>
      </w:tr>
      <w:tr w:rsidR="00665986" w:rsidRPr="008C3457" w14:paraId="5EDD6EDD" w14:textId="77777777" w:rsidTr="00055FA1">
        <w:trPr>
          <w:trHeight w:val="259"/>
        </w:trPr>
        <w:tc>
          <w:tcPr>
            <w:tcW w:w="864" w:type="dxa"/>
            <w:vMerge/>
            <w:tcBorders>
              <w:left w:val="nil"/>
              <w:right w:val="nil"/>
            </w:tcBorders>
            <w:shd w:val="clear" w:color="auto" w:fill="auto"/>
            <w:noWrap/>
            <w:vAlign w:val="center"/>
            <w:hideMark/>
          </w:tcPr>
          <w:p w14:paraId="49F6CBB0" w14:textId="77777777" w:rsidR="00665986" w:rsidRPr="008C3457" w:rsidRDefault="00665986">
            <w:pPr>
              <w:jc w:val="center"/>
              <w:rPr>
                <w:color w:val="000000"/>
                <w:sz w:val="16"/>
                <w:szCs w:val="16"/>
              </w:rPr>
            </w:pPr>
          </w:p>
        </w:tc>
        <w:tc>
          <w:tcPr>
            <w:tcW w:w="1397" w:type="dxa"/>
            <w:tcBorders>
              <w:top w:val="nil"/>
              <w:left w:val="nil"/>
              <w:bottom w:val="nil"/>
              <w:right w:val="nil"/>
            </w:tcBorders>
            <w:shd w:val="clear" w:color="auto" w:fill="auto"/>
            <w:noWrap/>
            <w:vAlign w:val="center"/>
            <w:hideMark/>
          </w:tcPr>
          <w:p w14:paraId="1BF10AD6" w14:textId="77777777" w:rsidR="00665986" w:rsidRPr="008C3457" w:rsidRDefault="00665986">
            <w:pPr>
              <w:jc w:val="right"/>
              <w:rPr>
                <w:b/>
                <w:bCs/>
                <w:color w:val="000000"/>
                <w:sz w:val="16"/>
                <w:szCs w:val="16"/>
              </w:rPr>
            </w:pPr>
            <w:r>
              <w:rPr>
                <w:b/>
                <w:bCs/>
                <w:color w:val="000000"/>
                <w:sz w:val="16"/>
                <w:szCs w:val="16"/>
              </w:rPr>
              <w:t>Débarquements</w:t>
            </w:r>
          </w:p>
        </w:tc>
        <w:tc>
          <w:tcPr>
            <w:tcW w:w="582" w:type="dxa"/>
            <w:tcBorders>
              <w:top w:val="nil"/>
              <w:left w:val="nil"/>
              <w:bottom w:val="nil"/>
              <w:right w:val="nil"/>
            </w:tcBorders>
            <w:shd w:val="clear" w:color="auto" w:fill="auto"/>
            <w:noWrap/>
            <w:vAlign w:val="center"/>
            <w:hideMark/>
          </w:tcPr>
          <w:p w14:paraId="09397CCD" w14:textId="42E563F1" w:rsidR="00665986" w:rsidRPr="008C3457" w:rsidRDefault="00665986">
            <w:pPr>
              <w:jc w:val="right"/>
              <w:rPr>
                <w:color w:val="000000"/>
                <w:sz w:val="16"/>
                <w:szCs w:val="16"/>
              </w:rPr>
            </w:pPr>
            <w:r>
              <w:rPr>
                <w:color w:val="000000"/>
                <w:sz w:val="16"/>
                <w:szCs w:val="16"/>
              </w:rPr>
              <w:t xml:space="preserve">       130 </w:t>
            </w:r>
          </w:p>
        </w:tc>
        <w:tc>
          <w:tcPr>
            <w:tcW w:w="718" w:type="dxa"/>
            <w:tcBorders>
              <w:top w:val="nil"/>
              <w:left w:val="nil"/>
              <w:bottom w:val="nil"/>
              <w:right w:val="nil"/>
            </w:tcBorders>
            <w:shd w:val="clear" w:color="auto" w:fill="auto"/>
            <w:noWrap/>
            <w:vAlign w:val="center"/>
            <w:hideMark/>
          </w:tcPr>
          <w:p w14:paraId="7D757BC4" w14:textId="7FB84D5D" w:rsidR="00665986" w:rsidRPr="008C3457" w:rsidRDefault="00665986">
            <w:pPr>
              <w:jc w:val="right"/>
              <w:rPr>
                <w:color w:val="000000"/>
                <w:sz w:val="16"/>
                <w:szCs w:val="16"/>
              </w:rPr>
            </w:pPr>
            <w:r>
              <w:rPr>
                <w:color w:val="000000"/>
                <w:sz w:val="16"/>
                <w:szCs w:val="16"/>
              </w:rPr>
              <w:t xml:space="preserve">         70 </w:t>
            </w:r>
          </w:p>
        </w:tc>
        <w:tc>
          <w:tcPr>
            <w:tcW w:w="718" w:type="dxa"/>
            <w:tcBorders>
              <w:top w:val="nil"/>
              <w:left w:val="nil"/>
              <w:bottom w:val="nil"/>
              <w:right w:val="nil"/>
            </w:tcBorders>
            <w:shd w:val="clear" w:color="auto" w:fill="auto"/>
            <w:noWrap/>
            <w:vAlign w:val="center"/>
            <w:hideMark/>
          </w:tcPr>
          <w:p w14:paraId="1F1A105B" w14:textId="401CB6FC" w:rsidR="00665986" w:rsidRPr="008C3457" w:rsidRDefault="00665986">
            <w:pPr>
              <w:jc w:val="right"/>
              <w:rPr>
                <w:color w:val="000000"/>
                <w:sz w:val="16"/>
                <w:szCs w:val="16"/>
              </w:rPr>
            </w:pPr>
            <w:r>
              <w:rPr>
                <w:color w:val="000000"/>
                <w:sz w:val="16"/>
                <w:szCs w:val="16"/>
              </w:rPr>
              <w:t xml:space="preserve">         63 </w:t>
            </w:r>
          </w:p>
        </w:tc>
        <w:tc>
          <w:tcPr>
            <w:tcW w:w="718" w:type="dxa"/>
            <w:tcBorders>
              <w:top w:val="nil"/>
              <w:left w:val="nil"/>
              <w:bottom w:val="nil"/>
              <w:right w:val="nil"/>
            </w:tcBorders>
            <w:shd w:val="clear" w:color="auto" w:fill="auto"/>
            <w:noWrap/>
            <w:vAlign w:val="center"/>
            <w:hideMark/>
          </w:tcPr>
          <w:p w14:paraId="45F23A2A" w14:textId="50A78E4D" w:rsidR="00665986" w:rsidRPr="008C3457" w:rsidRDefault="00665986">
            <w:pPr>
              <w:jc w:val="right"/>
              <w:rPr>
                <w:color w:val="000000"/>
                <w:sz w:val="16"/>
                <w:szCs w:val="16"/>
              </w:rPr>
            </w:pPr>
            <w:r>
              <w:rPr>
                <w:color w:val="000000"/>
                <w:sz w:val="16"/>
                <w:szCs w:val="16"/>
              </w:rPr>
              <w:t xml:space="preserve">         26 </w:t>
            </w:r>
          </w:p>
        </w:tc>
        <w:tc>
          <w:tcPr>
            <w:tcW w:w="718" w:type="dxa"/>
            <w:tcBorders>
              <w:top w:val="nil"/>
              <w:left w:val="nil"/>
              <w:bottom w:val="nil"/>
              <w:right w:val="nil"/>
            </w:tcBorders>
            <w:shd w:val="clear" w:color="auto" w:fill="auto"/>
            <w:noWrap/>
            <w:vAlign w:val="center"/>
            <w:hideMark/>
          </w:tcPr>
          <w:p w14:paraId="78AE458E" w14:textId="0ED5E76E" w:rsidR="00665986" w:rsidRPr="008C3457" w:rsidRDefault="00665986">
            <w:pPr>
              <w:jc w:val="right"/>
              <w:rPr>
                <w:color w:val="000000"/>
                <w:sz w:val="16"/>
                <w:szCs w:val="16"/>
              </w:rPr>
            </w:pPr>
            <w:r>
              <w:rPr>
                <w:color w:val="000000"/>
                <w:sz w:val="16"/>
                <w:szCs w:val="16"/>
              </w:rPr>
              <w:t xml:space="preserve">         35 </w:t>
            </w:r>
          </w:p>
        </w:tc>
        <w:tc>
          <w:tcPr>
            <w:tcW w:w="766" w:type="dxa"/>
            <w:tcBorders>
              <w:top w:val="nil"/>
              <w:left w:val="nil"/>
              <w:bottom w:val="nil"/>
              <w:right w:val="nil"/>
            </w:tcBorders>
            <w:shd w:val="clear" w:color="auto" w:fill="auto"/>
            <w:noWrap/>
            <w:vAlign w:val="center"/>
            <w:hideMark/>
          </w:tcPr>
          <w:p w14:paraId="50AF52CB" w14:textId="36AA4FC7" w:rsidR="00665986" w:rsidRPr="008C3457" w:rsidRDefault="00665986">
            <w:pPr>
              <w:jc w:val="right"/>
              <w:rPr>
                <w:color w:val="000000"/>
                <w:sz w:val="16"/>
                <w:szCs w:val="16"/>
              </w:rPr>
            </w:pPr>
            <w:r>
              <w:rPr>
                <w:color w:val="000000"/>
                <w:sz w:val="16"/>
                <w:szCs w:val="16"/>
              </w:rPr>
              <w:t xml:space="preserve">         32 </w:t>
            </w:r>
          </w:p>
        </w:tc>
        <w:tc>
          <w:tcPr>
            <w:tcW w:w="718" w:type="dxa"/>
            <w:tcBorders>
              <w:top w:val="nil"/>
              <w:left w:val="nil"/>
              <w:bottom w:val="nil"/>
              <w:right w:val="nil"/>
            </w:tcBorders>
            <w:shd w:val="clear" w:color="auto" w:fill="auto"/>
            <w:noWrap/>
            <w:vAlign w:val="center"/>
            <w:hideMark/>
          </w:tcPr>
          <w:p w14:paraId="71081979" w14:textId="223A5604" w:rsidR="00665986" w:rsidRPr="008C3457" w:rsidRDefault="00665986">
            <w:pPr>
              <w:jc w:val="right"/>
              <w:rPr>
                <w:color w:val="000000"/>
                <w:sz w:val="16"/>
                <w:szCs w:val="16"/>
              </w:rPr>
            </w:pPr>
            <w:r>
              <w:rPr>
                <w:color w:val="000000"/>
                <w:sz w:val="16"/>
                <w:szCs w:val="16"/>
              </w:rPr>
              <w:t>-</w:t>
            </w:r>
          </w:p>
        </w:tc>
        <w:tc>
          <w:tcPr>
            <w:tcW w:w="718" w:type="dxa"/>
            <w:tcBorders>
              <w:top w:val="nil"/>
              <w:left w:val="nil"/>
              <w:bottom w:val="nil"/>
              <w:right w:val="nil"/>
            </w:tcBorders>
            <w:shd w:val="clear" w:color="auto" w:fill="auto"/>
            <w:noWrap/>
            <w:vAlign w:val="center"/>
            <w:hideMark/>
          </w:tcPr>
          <w:p w14:paraId="5EC62E17" w14:textId="69927C99" w:rsidR="00665986" w:rsidRPr="008C3457" w:rsidRDefault="00665986">
            <w:pPr>
              <w:jc w:val="right"/>
              <w:rPr>
                <w:color w:val="000000"/>
                <w:sz w:val="16"/>
                <w:szCs w:val="16"/>
              </w:rPr>
            </w:pPr>
            <w:r>
              <w:rPr>
                <w:color w:val="000000"/>
                <w:sz w:val="16"/>
                <w:szCs w:val="16"/>
              </w:rPr>
              <w:t xml:space="preserve">    3 711 </w:t>
            </w:r>
          </w:p>
        </w:tc>
        <w:tc>
          <w:tcPr>
            <w:tcW w:w="718" w:type="dxa"/>
            <w:tcBorders>
              <w:top w:val="nil"/>
              <w:left w:val="nil"/>
              <w:bottom w:val="nil"/>
              <w:right w:val="nil"/>
            </w:tcBorders>
            <w:shd w:val="clear" w:color="auto" w:fill="auto"/>
            <w:noWrap/>
            <w:vAlign w:val="center"/>
            <w:hideMark/>
          </w:tcPr>
          <w:p w14:paraId="73E32136" w14:textId="56327104" w:rsidR="00665986" w:rsidRPr="008C3457" w:rsidRDefault="00665986">
            <w:pPr>
              <w:jc w:val="right"/>
              <w:rPr>
                <w:color w:val="000000"/>
                <w:sz w:val="16"/>
                <w:szCs w:val="16"/>
              </w:rPr>
            </w:pPr>
            <w:r>
              <w:rPr>
                <w:color w:val="000000"/>
                <w:sz w:val="16"/>
                <w:szCs w:val="16"/>
              </w:rPr>
              <w:t xml:space="preserve">         26 </w:t>
            </w:r>
          </w:p>
        </w:tc>
        <w:tc>
          <w:tcPr>
            <w:tcW w:w="718" w:type="dxa"/>
            <w:tcBorders>
              <w:top w:val="nil"/>
              <w:left w:val="nil"/>
              <w:bottom w:val="nil"/>
              <w:right w:val="nil"/>
            </w:tcBorders>
            <w:shd w:val="clear" w:color="auto" w:fill="auto"/>
            <w:noWrap/>
            <w:vAlign w:val="center"/>
            <w:hideMark/>
          </w:tcPr>
          <w:p w14:paraId="6B7E144B" w14:textId="27EF309A" w:rsidR="00665986" w:rsidRPr="008C3457" w:rsidRDefault="00665986">
            <w:pPr>
              <w:jc w:val="right"/>
              <w:rPr>
                <w:color w:val="000000"/>
                <w:sz w:val="16"/>
                <w:szCs w:val="16"/>
              </w:rPr>
            </w:pPr>
            <w:r>
              <w:rPr>
                <w:color w:val="000000"/>
                <w:sz w:val="16"/>
                <w:szCs w:val="16"/>
              </w:rPr>
              <w:t xml:space="preserve">  15 899 </w:t>
            </w:r>
          </w:p>
        </w:tc>
      </w:tr>
      <w:tr w:rsidR="00665986" w:rsidRPr="008C3457" w14:paraId="28E0B144" w14:textId="77777777" w:rsidTr="00055FA1">
        <w:trPr>
          <w:trHeight w:val="259"/>
        </w:trPr>
        <w:tc>
          <w:tcPr>
            <w:tcW w:w="864" w:type="dxa"/>
            <w:vMerge/>
            <w:tcBorders>
              <w:left w:val="nil"/>
              <w:bottom w:val="nil"/>
              <w:right w:val="nil"/>
            </w:tcBorders>
            <w:shd w:val="clear" w:color="auto" w:fill="auto"/>
            <w:noWrap/>
            <w:vAlign w:val="center"/>
            <w:hideMark/>
          </w:tcPr>
          <w:p w14:paraId="6FF30A98" w14:textId="77777777" w:rsidR="00665986" w:rsidRPr="008C3457" w:rsidRDefault="00665986">
            <w:pPr>
              <w:jc w:val="center"/>
              <w:rPr>
                <w:color w:val="000000"/>
                <w:sz w:val="16"/>
                <w:szCs w:val="16"/>
              </w:rPr>
            </w:pPr>
          </w:p>
        </w:tc>
        <w:tc>
          <w:tcPr>
            <w:tcW w:w="1397" w:type="dxa"/>
            <w:tcBorders>
              <w:top w:val="nil"/>
              <w:left w:val="nil"/>
              <w:bottom w:val="nil"/>
              <w:right w:val="nil"/>
            </w:tcBorders>
            <w:shd w:val="clear" w:color="auto" w:fill="auto"/>
            <w:noWrap/>
            <w:vAlign w:val="center"/>
            <w:hideMark/>
          </w:tcPr>
          <w:p w14:paraId="59EA6227" w14:textId="77777777" w:rsidR="00665986" w:rsidRPr="008C3457" w:rsidRDefault="00665986">
            <w:pPr>
              <w:jc w:val="right"/>
              <w:rPr>
                <w:b/>
                <w:bCs/>
                <w:color w:val="000000"/>
                <w:sz w:val="16"/>
                <w:szCs w:val="16"/>
              </w:rPr>
            </w:pPr>
            <w:r>
              <w:rPr>
                <w:b/>
                <w:bCs/>
                <w:color w:val="000000"/>
                <w:sz w:val="16"/>
                <w:szCs w:val="16"/>
              </w:rPr>
              <w:t>Rejets</w:t>
            </w:r>
          </w:p>
        </w:tc>
        <w:tc>
          <w:tcPr>
            <w:tcW w:w="582" w:type="dxa"/>
            <w:tcBorders>
              <w:top w:val="nil"/>
              <w:left w:val="nil"/>
              <w:bottom w:val="nil"/>
              <w:right w:val="nil"/>
            </w:tcBorders>
            <w:shd w:val="clear" w:color="auto" w:fill="auto"/>
            <w:noWrap/>
            <w:vAlign w:val="center"/>
            <w:hideMark/>
          </w:tcPr>
          <w:p w14:paraId="0FC45274" w14:textId="0A19426F" w:rsidR="00665986" w:rsidRPr="008C3457" w:rsidRDefault="00665986">
            <w:pPr>
              <w:jc w:val="right"/>
              <w:rPr>
                <w:color w:val="000000"/>
                <w:sz w:val="16"/>
                <w:szCs w:val="16"/>
              </w:rPr>
            </w:pPr>
            <w:r>
              <w:rPr>
                <w:color w:val="000000"/>
                <w:sz w:val="16"/>
                <w:szCs w:val="16"/>
              </w:rPr>
              <w:t xml:space="preserve">         49 </w:t>
            </w:r>
          </w:p>
        </w:tc>
        <w:tc>
          <w:tcPr>
            <w:tcW w:w="718" w:type="dxa"/>
            <w:tcBorders>
              <w:top w:val="nil"/>
              <w:left w:val="nil"/>
              <w:bottom w:val="nil"/>
              <w:right w:val="nil"/>
            </w:tcBorders>
            <w:shd w:val="clear" w:color="auto" w:fill="auto"/>
            <w:noWrap/>
            <w:vAlign w:val="center"/>
            <w:hideMark/>
          </w:tcPr>
          <w:p w14:paraId="799BEF46" w14:textId="200068A8" w:rsidR="00665986" w:rsidRPr="008C3457" w:rsidRDefault="00665986">
            <w:pPr>
              <w:jc w:val="right"/>
              <w:rPr>
                <w:color w:val="000000"/>
                <w:sz w:val="16"/>
                <w:szCs w:val="16"/>
              </w:rPr>
            </w:pPr>
            <w:r>
              <w:rPr>
                <w:color w:val="000000"/>
                <w:sz w:val="16"/>
                <w:szCs w:val="16"/>
              </w:rPr>
              <w:t xml:space="preserve">         74 </w:t>
            </w:r>
          </w:p>
        </w:tc>
        <w:tc>
          <w:tcPr>
            <w:tcW w:w="718" w:type="dxa"/>
            <w:tcBorders>
              <w:top w:val="nil"/>
              <w:left w:val="nil"/>
              <w:bottom w:val="nil"/>
              <w:right w:val="nil"/>
            </w:tcBorders>
            <w:shd w:val="clear" w:color="auto" w:fill="auto"/>
            <w:noWrap/>
            <w:vAlign w:val="center"/>
            <w:hideMark/>
          </w:tcPr>
          <w:p w14:paraId="6E37470A" w14:textId="1F64108F" w:rsidR="00665986" w:rsidRPr="008C3457" w:rsidRDefault="00665986">
            <w:pPr>
              <w:jc w:val="right"/>
              <w:rPr>
                <w:color w:val="000000"/>
                <w:sz w:val="16"/>
                <w:szCs w:val="16"/>
              </w:rPr>
            </w:pPr>
            <w:r>
              <w:rPr>
                <w:color w:val="000000"/>
                <w:sz w:val="16"/>
                <w:szCs w:val="16"/>
              </w:rPr>
              <w:t xml:space="preserve">         41 </w:t>
            </w:r>
          </w:p>
        </w:tc>
        <w:tc>
          <w:tcPr>
            <w:tcW w:w="718" w:type="dxa"/>
            <w:tcBorders>
              <w:top w:val="nil"/>
              <w:left w:val="nil"/>
              <w:bottom w:val="nil"/>
              <w:right w:val="nil"/>
            </w:tcBorders>
            <w:shd w:val="clear" w:color="auto" w:fill="auto"/>
            <w:noWrap/>
            <w:vAlign w:val="center"/>
            <w:hideMark/>
          </w:tcPr>
          <w:p w14:paraId="59AD3927" w14:textId="01671F1F" w:rsidR="00665986" w:rsidRPr="008C3457" w:rsidRDefault="00665986">
            <w:pPr>
              <w:jc w:val="right"/>
              <w:rPr>
                <w:color w:val="000000"/>
                <w:sz w:val="16"/>
                <w:szCs w:val="16"/>
              </w:rPr>
            </w:pPr>
            <w:r>
              <w:rPr>
                <w:color w:val="000000"/>
                <w:sz w:val="16"/>
                <w:szCs w:val="16"/>
              </w:rPr>
              <w:t xml:space="preserve">           7 </w:t>
            </w:r>
          </w:p>
        </w:tc>
        <w:tc>
          <w:tcPr>
            <w:tcW w:w="718" w:type="dxa"/>
            <w:tcBorders>
              <w:top w:val="nil"/>
              <w:left w:val="nil"/>
              <w:bottom w:val="nil"/>
              <w:right w:val="nil"/>
            </w:tcBorders>
            <w:shd w:val="clear" w:color="auto" w:fill="auto"/>
            <w:noWrap/>
            <w:vAlign w:val="center"/>
            <w:hideMark/>
          </w:tcPr>
          <w:p w14:paraId="65766402" w14:textId="5F71DE11" w:rsidR="00665986" w:rsidRPr="008C3457" w:rsidRDefault="00665986">
            <w:pPr>
              <w:jc w:val="right"/>
              <w:rPr>
                <w:color w:val="000000"/>
                <w:sz w:val="16"/>
                <w:szCs w:val="16"/>
              </w:rPr>
            </w:pPr>
            <w:r>
              <w:rPr>
                <w:color w:val="000000"/>
                <w:sz w:val="16"/>
                <w:szCs w:val="16"/>
              </w:rPr>
              <w:t xml:space="preserve">         57 </w:t>
            </w:r>
          </w:p>
        </w:tc>
        <w:tc>
          <w:tcPr>
            <w:tcW w:w="766" w:type="dxa"/>
            <w:tcBorders>
              <w:top w:val="nil"/>
              <w:left w:val="nil"/>
              <w:bottom w:val="nil"/>
              <w:right w:val="nil"/>
            </w:tcBorders>
            <w:shd w:val="clear" w:color="auto" w:fill="auto"/>
            <w:noWrap/>
            <w:vAlign w:val="center"/>
            <w:hideMark/>
          </w:tcPr>
          <w:p w14:paraId="09E78E93" w14:textId="5D41B9AC" w:rsidR="00665986" w:rsidRPr="008C3457" w:rsidRDefault="00665986">
            <w:pPr>
              <w:jc w:val="right"/>
              <w:rPr>
                <w:color w:val="000000"/>
                <w:sz w:val="16"/>
                <w:szCs w:val="16"/>
              </w:rPr>
            </w:pPr>
            <w:r>
              <w:rPr>
                <w:color w:val="000000"/>
                <w:sz w:val="16"/>
                <w:szCs w:val="16"/>
              </w:rPr>
              <w:t xml:space="preserve">         11 </w:t>
            </w:r>
          </w:p>
        </w:tc>
        <w:tc>
          <w:tcPr>
            <w:tcW w:w="718" w:type="dxa"/>
            <w:tcBorders>
              <w:top w:val="nil"/>
              <w:left w:val="nil"/>
              <w:bottom w:val="nil"/>
              <w:right w:val="nil"/>
            </w:tcBorders>
            <w:shd w:val="clear" w:color="auto" w:fill="auto"/>
            <w:noWrap/>
            <w:vAlign w:val="center"/>
            <w:hideMark/>
          </w:tcPr>
          <w:p w14:paraId="13555BD2" w14:textId="14F1C182" w:rsidR="00665986" w:rsidRPr="008C3457" w:rsidRDefault="00665986">
            <w:pPr>
              <w:jc w:val="right"/>
              <w:rPr>
                <w:color w:val="000000"/>
                <w:sz w:val="16"/>
                <w:szCs w:val="16"/>
              </w:rPr>
            </w:pPr>
            <w:r>
              <w:rPr>
                <w:color w:val="000000"/>
                <w:sz w:val="16"/>
                <w:szCs w:val="16"/>
              </w:rPr>
              <w:t>-</w:t>
            </w:r>
          </w:p>
        </w:tc>
        <w:tc>
          <w:tcPr>
            <w:tcW w:w="718" w:type="dxa"/>
            <w:tcBorders>
              <w:top w:val="nil"/>
              <w:left w:val="nil"/>
              <w:bottom w:val="nil"/>
              <w:right w:val="nil"/>
            </w:tcBorders>
            <w:shd w:val="clear" w:color="auto" w:fill="auto"/>
            <w:noWrap/>
            <w:vAlign w:val="center"/>
            <w:hideMark/>
          </w:tcPr>
          <w:p w14:paraId="4CB04687" w14:textId="7DC22CC3" w:rsidR="00665986" w:rsidRPr="008C3457" w:rsidRDefault="00665986">
            <w:pPr>
              <w:jc w:val="right"/>
              <w:rPr>
                <w:color w:val="000000"/>
                <w:sz w:val="16"/>
                <w:szCs w:val="16"/>
              </w:rPr>
            </w:pPr>
            <w:r>
              <w:rPr>
                <w:color w:val="000000"/>
                <w:sz w:val="16"/>
                <w:szCs w:val="16"/>
              </w:rPr>
              <w:t xml:space="preserve">       508 </w:t>
            </w:r>
          </w:p>
        </w:tc>
        <w:tc>
          <w:tcPr>
            <w:tcW w:w="718" w:type="dxa"/>
            <w:tcBorders>
              <w:top w:val="nil"/>
              <w:left w:val="nil"/>
              <w:bottom w:val="nil"/>
              <w:right w:val="nil"/>
            </w:tcBorders>
            <w:shd w:val="clear" w:color="auto" w:fill="auto"/>
            <w:noWrap/>
            <w:vAlign w:val="center"/>
            <w:hideMark/>
          </w:tcPr>
          <w:p w14:paraId="218E8E93" w14:textId="2A4A330E" w:rsidR="00665986" w:rsidRPr="008C3457" w:rsidRDefault="00665986">
            <w:pPr>
              <w:jc w:val="right"/>
              <w:rPr>
                <w:color w:val="000000"/>
                <w:sz w:val="16"/>
                <w:szCs w:val="16"/>
              </w:rPr>
            </w:pPr>
            <w:r>
              <w:rPr>
                <w:color w:val="000000"/>
                <w:sz w:val="16"/>
                <w:szCs w:val="16"/>
              </w:rPr>
              <w:t xml:space="preserve">           7 </w:t>
            </w:r>
          </w:p>
        </w:tc>
        <w:tc>
          <w:tcPr>
            <w:tcW w:w="718" w:type="dxa"/>
            <w:tcBorders>
              <w:top w:val="nil"/>
              <w:left w:val="nil"/>
              <w:bottom w:val="nil"/>
              <w:right w:val="nil"/>
            </w:tcBorders>
            <w:shd w:val="clear" w:color="auto" w:fill="auto"/>
            <w:noWrap/>
            <w:vAlign w:val="center"/>
            <w:hideMark/>
          </w:tcPr>
          <w:p w14:paraId="75005598" w14:textId="2D400FA1" w:rsidR="00665986" w:rsidRPr="008C3457" w:rsidRDefault="00665986">
            <w:pPr>
              <w:jc w:val="right"/>
              <w:rPr>
                <w:color w:val="000000"/>
                <w:sz w:val="16"/>
                <w:szCs w:val="16"/>
              </w:rPr>
            </w:pPr>
            <w:r>
              <w:rPr>
                <w:color w:val="000000"/>
                <w:sz w:val="16"/>
                <w:szCs w:val="16"/>
              </w:rPr>
              <w:t xml:space="preserve">    3 021 </w:t>
            </w:r>
          </w:p>
        </w:tc>
      </w:tr>
      <w:tr w:rsidR="00665986" w:rsidRPr="008C3457" w14:paraId="26175BEA" w14:textId="77777777" w:rsidTr="00665986">
        <w:trPr>
          <w:trHeight w:val="259"/>
        </w:trPr>
        <w:tc>
          <w:tcPr>
            <w:tcW w:w="864" w:type="dxa"/>
            <w:vMerge w:val="restart"/>
            <w:tcBorders>
              <w:top w:val="nil"/>
              <w:left w:val="nil"/>
              <w:right w:val="nil"/>
            </w:tcBorders>
            <w:shd w:val="clear" w:color="auto" w:fill="auto"/>
            <w:noWrap/>
            <w:hideMark/>
          </w:tcPr>
          <w:p w14:paraId="320C1B3E" w14:textId="77777777" w:rsidR="00665986" w:rsidRPr="008C3457" w:rsidRDefault="00665986" w:rsidP="00665986">
            <w:pPr>
              <w:jc w:val="center"/>
              <w:rPr>
                <w:b/>
                <w:bCs/>
                <w:color w:val="000000"/>
                <w:sz w:val="16"/>
                <w:szCs w:val="16"/>
              </w:rPr>
            </w:pPr>
            <w:r>
              <w:rPr>
                <w:b/>
                <w:bCs/>
                <w:color w:val="000000"/>
                <w:sz w:val="16"/>
                <w:szCs w:val="16"/>
              </w:rPr>
              <w:t>Total</w:t>
            </w:r>
            <w:r>
              <w:rPr>
                <w:b/>
                <w:bCs/>
                <w:color w:val="000000"/>
                <w:sz w:val="16"/>
                <w:szCs w:val="16"/>
                <w:vertAlign w:val="superscript"/>
              </w:rPr>
              <w:t>2</w:t>
            </w:r>
          </w:p>
          <w:p w14:paraId="4EFD39B8" w14:textId="49CDE868" w:rsidR="00665986" w:rsidRPr="008C3457" w:rsidRDefault="00665986" w:rsidP="00665986">
            <w:pPr>
              <w:jc w:val="center"/>
              <w:rPr>
                <w:b/>
                <w:bCs/>
                <w:color w:val="000000"/>
                <w:sz w:val="16"/>
                <w:szCs w:val="16"/>
              </w:rPr>
            </w:pPr>
          </w:p>
        </w:tc>
        <w:tc>
          <w:tcPr>
            <w:tcW w:w="1397" w:type="dxa"/>
            <w:tcBorders>
              <w:top w:val="nil"/>
              <w:left w:val="nil"/>
              <w:bottom w:val="nil"/>
              <w:right w:val="nil"/>
            </w:tcBorders>
            <w:shd w:val="clear" w:color="auto" w:fill="auto"/>
            <w:noWrap/>
            <w:vAlign w:val="center"/>
            <w:hideMark/>
          </w:tcPr>
          <w:p w14:paraId="639C34A3" w14:textId="38D8A65C" w:rsidR="00665986" w:rsidRPr="008C3457" w:rsidRDefault="00665986">
            <w:pPr>
              <w:jc w:val="right"/>
              <w:rPr>
                <w:b/>
                <w:bCs/>
                <w:color w:val="000000"/>
                <w:sz w:val="16"/>
                <w:szCs w:val="16"/>
              </w:rPr>
            </w:pPr>
            <w:r>
              <w:rPr>
                <w:b/>
                <w:bCs/>
                <w:color w:val="000000"/>
                <w:sz w:val="16"/>
                <w:szCs w:val="16"/>
              </w:rPr>
              <w:t>Quota</w:t>
            </w:r>
            <w:r>
              <w:rPr>
                <w:b/>
                <w:bCs/>
                <w:color w:val="000000"/>
                <w:sz w:val="16"/>
                <w:szCs w:val="16"/>
                <w:vertAlign w:val="superscript"/>
              </w:rPr>
              <w:t>5</w:t>
            </w:r>
          </w:p>
        </w:tc>
        <w:tc>
          <w:tcPr>
            <w:tcW w:w="582" w:type="dxa"/>
            <w:tcBorders>
              <w:top w:val="nil"/>
              <w:left w:val="nil"/>
              <w:bottom w:val="nil"/>
              <w:right w:val="nil"/>
            </w:tcBorders>
            <w:shd w:val="clear" w:color="auto" w:fill="auto"/>
            <w:noWrap/>
            <w:vAlign w:val="center"/>
            <w:hideMark/>
          </w:tcPr>
          <w:p w14:paraId="7A9C4786" w14:textId="75BE5B4F" w:rsidR="00665986" w:rsidRPr="008C3457" w:rsidRDefault="00665986">
            <w:pPr>
              <w:jc w:val="right"/>
              <w:rPr>
                <w:color w:val="000000"/>
                <w:sz w:val="16"/>
                <w:szCs w:val="16"/>
              </w:rPr>
            </w:pPr>
            <w:r>
              <w:rPr>
                <w:color w:val="000000"/>
                <w:sz w:val="16"/>
                <w:szCs w:val="16"/>
              </w:rPr>
              <w:t xml:space="preserve">       500 </w:t>
            </w:r>
          </w:p>
        </w:tc>
        <w:tc>
          <w:tcPr>
            <w:tcW w:w="718" w:type="dxa"/>
            <w:tcBorders>
              <w:top w:val="nil"/>
              <w:left w:val="nil"/>
              <w:bottom w:val="nil"/>
              <w:right w:val="nil"/>
            </w:tcBorders>
            <w:shd w:val="clear" w:color="auto" w:fill="auto"/>
            <w:noWrap/>
            <w:vAlign w:val="center"/>
            <w:hideMark/>
          </w:tcPr>
          <w:p w14:paraId="5870D89D" w14:textId="01D1B55C" w:rsidR="00665986" w:rsidRPr="008C3457" w:rsidRDefault="00665986">
            <w:pPr>
              <w:jc w:val="right"/>
              <w:rPr>
                <w:color w:val="000000"/>
                <w:sz w:val="16"/>
                <w:szCs w:val="16"/>
              </w:rPr>
            </w:pPr>
            <w:r>
              <w:rPr>
                <w:color w:val="000000"/>
                <w:sz w:val="16"/>
                <w:szCs w:val="16"/>
              </w:rPr>
              <w:t xml:space="preserve">       400 </w:t>
            </w:r>
          </w:p>
        </w:tc>
        <w:tc>
          <w:tcPr>
            <w:tcW w:w="718" w:type="dxa"/>
            <w:tcBorders>
              <w:top w:val="nil"/>
              <w:left w:val="nil"/>
              <w:bottom w:val="nil"/>
              <w:right w:val="nil"/>
            </w:tcBorders>
            <w:shd w:val="clear" w:color="auto" w:fill="auto"/>
            <w:noWrap/>
            <w:vAlign w:val="center"/>
            <w:hideMark/>
          </w:tcPr>
          <w:p w14:paraId="7C32DF51" w14:textId="2F8C7A90" w:rsidR="00665986" w:rsidRPr="008C3457" w:rsidRDefault="00665986">
            <w:pPr>
              <w:jc w:val="right"/>
              <w:rPr>
                <w:color w:val="000000"/>
                <w:sz w:val="16"/>
                <w:szCs w:val="16"/>
              </w:rPr>
            </w:pPr>
            <w:r>
              <w:rPr>
                <w:color w:val="000000"/>
                <w:sz w:val="16"/>
                <w:szCs w:val="16"/>
              </w:rPr>
              <w:t xml:space="preserve">       354 </w:t>
            </w:r>
          </w:p>
        </w:tc>
        <w:tc>
          <w:tcPr>
            <w:tcW w:w="718" w:type="dxa"/>
            <w:tcBorders>
              <w:top w:val="nil"/>
              <w:left w:val="nil"/>
              <w:bottom w:val="nil"/>
              <w:right w:val="nil"/>
            </w:tcBorders>
            <w:shd w:val="clear" w:color="auto" w:fill="auto"/>
            <w:noWrap/>
            <w:vAlign w:val="center"/>
            <w:hideMark/>
          </w:tcPr>
          <w:p w14:paraId="46AE0FED" w14:textId="23DEEE7F" w:rsidR="00665986" w:rsidRPr="008C3457" w:rsidRDefault="00665986">
            <w:pPr>
              <w:jc w:val="right"/>
              <w:rPr>
                <w:color w:val="000000"/>
                <w:sz w:val="16"/>
                <w:szCs w:val="16"/>
              </w:rPr>
            </w:pPr>
            <w:r>
              <w:rPr>
                <w:color w:val="000000"/>
                <w:sz w:val="16"/>
                <w:szCs w:val="16"/>
              </w:rPr>
              <w:t xml:space="preserve">       354 </w:t>
            </w:r>
          </w:p>
        </w:tc>
        <w:tc>
          <w:tcPr>
            <w:tcW w:w="718" w:type="dxa"/>
            <w:tcBorders>
              <w:top w:val="nil"/>
              <w:left w:val="nil"/>
              <w:bottom w:val="nil"/>
              <w:right w:val="nil"/>
            </w:tcBorders>
            <w:shd w:val="clear" w:color="auto" w:fill="auto"/>
            <w:noWrap/>
            <w:vAlign w:val="center"/>
            <w:hideMark/>
          </w:tcPr>
          <w:p w14:paraId="1EA5C759" w14:textId="02172D11" w:rsidR="00665986" w:rsidRPr="008C3457" w:rsidRDefault="00665986">
            <w:pPr>
              <w:jc w:val="right"/>
              <w:rPr>
                <w:color w:val="000000"/>
                <w:sz w:val="16"/>
                <w:szCs w:val="16"/>
              </w:rPr>
            </w:pPr>
            <w:r>
              <w:rPr>
                <w:color w:val="000000"/>
                <w:sz w:val="16"/>
                <w:szCs w:val="16"/>
              </w:rPr>
              <w:t xml:space="preserve">       300 </w:t>
            </w:r>
          </w:p>
        </w:tc>
        <w:tc>
          <w:tcPr>
            <w:tcW w:w="766" w:type="dxa"/>
            <w:tcBorders>
              <w:top w:val="nil"/>
              <w:left w:val="nil"/>
              <w:bottom w:val="nil"/>
              <w:right w:val="nil"/>
            </w:tcBorders>
            <w:shd w:val="clear" w:color="auto" w:fill="auto"/>
            <w:noWrap/>
            <w:vAlign w:val="center"/>
            <w:hideMark/>
          </w:tcPr>
          <w:p w14:paraId="58DD6969" w14:textId="0619147C" w:rsidR="00665986" w:rsidRPr="008C3457" w:rsidRDefault="00665986" w:rsidP="00BF70E1">
            <w:pPr>
              <w:jc w:val="right"/>
              <w:rPr>
                <w:color w:val="000000"/>
                <w:sz w:val="16"/>
                <w:szCs w:val="16"/>
              </w:rPr>
            </w:pPr>
            <w:r>
              <w:rPr>
                <w:color w:val="000000"/>
                <w:sz w:val="16"/>
                <w:szCs w:val="16"/>
              </w:rPr>
              <w:t xml:space="preserve">       300 </w:t>
            </w:r>
          </w:p>
        </w:tc>
        <w:tc>
          <w:tcPr>
            <w:tcW w:w="718" w:type="dxa"/>
            <w:tcBorders>
              <w:top w:val="nil"/>
              <w:left w:val="nil"/>
              <w:bottom w:val="nil"/>
              <w:right w:val="nil"/>
            </w:tcBorders>
            <w:shd w:val="clear" w:color="auto" w:fill="auto"/>
            <w:noWrap/>
            <w:vAlign w:val="center"/>
            <w:hideMark/>
          </w:tcPr>
          <w:p w14:paraId="4121D74F" w14:textId="53C820AB" w:rsidR="00665986" w:rsidRPr="008C3457" w:rsidRDefault="00665986">
            <w:pPr>
              <w:jc w:val="right"/>
              <w:rPr>
                <w:color w:val="000000"/>
                <w:sz w:val="16"/>
                <w:szCs w:val="16"/>
              </w:rPr>
            </w:pPr>
            <w:r>
              <w:rPr>
                <w:color w:val="000000"/>
                <w:sz w:val="16"/>
                <w:szCs w:val="16"/>
              </w:rPr>
              <w:t xml:space="preserve">       140 </w:t>
            </w:r>
          </w:p>
        </w:tc>
        <w:tc>
          <w:tcPr>
            <w:tcW w:w="718" w:type="dxa"/>
            <w:tcBorders>
              <w:top w:val="nil"/>
              <w:left w:val="nil"/>
              <w:bottom w:val="nil"/>
              <w:right w:val="nil"/>
            </w:tcBorders>
            <w:shd w:val="clear" w:color="auto" w:fill="auto"/>
            <w:noWrap/>
            <w:vAlign w:val="center"/>
            <w:hideMark/>
          </w:tcPr>
          <w:p w14:paraId="4A4DB655" w14:textId="7FE69EED" w:rsidR="00665986" w:rsidRPr="008C3457" w:rsidRDefault="00665986">
            <w:pPr>
              <w:jc w:val="right"/>
              <w:rPr>
                <w:color w:val="000000"/>
                <w:sz w:val="16"/>
                <w:szCs w:val="16"/>
              </w:rPr>
            </w:pPr>
            <w:r>
              <w:rPr>
                <w:color w:val="000000"/>
                <w:sz w:val="16"/>
                <w:szCs w:val="16"/>
              </w:rPr>
              <w:t>-</w:t>
            </w:r>
          </w:p>
        </w:tc>
        <w:tc>
          <w:tcPr>
            <w:tcW w:w="718" w:type="dxa"/>
            <w:tcBorders>
              <w:top w:val="nil"/>
              <w:left w:val="nil"/>
              <w:bottom w:val="nil"/>
              <w:right w:val="nil"/>
            </w:tcBorders>
            <w:shd w:val="clear" w:color="auto" w:fill="auto"/>
            <w:noWrap/>
            <w:vAlign w:val="center"/>
            <w:hideMark/>
          </w:tcPr>
          <w:p w14:paraId="2258C368" w14:textId="39668FAC" w:rsidR="00665986" w:rsidRPr="008C3457" w:rsidRDefault="00665986">
            <w:pPr>
              <w:jc w:val="right"/>
              <w:rPr>
                <w:color w:val="000000"/>
                <w:sz w:val="16"/>
                <w:szCs w:val="16"/>
              </w:rPr>
            </w:pPr>
            <w:r>
              <w:rPr>
                <w:color w:val="000000"/>
                <w:sz w:val="16"/>
                <w:szCs w:val="16"/>
              </w:rPr>
              <w:t>-</w:t>
            </w:r>
          </w:p>
        </w:tc>
        <w:tc>
          <w:tcPr>
            <w:tcW w:w="718" w:type="dxa"/>
            <w:tcBorders>
              <w:top w:val="nil"/>
              <w:left w:val="nil"/>
              <w:bottom w:val="nil"/>
              <w:right w:val="nil"/>
            </w:tcBorders>
            <w:shd w:val="clear" w:color="auto" w:fill="auto"/>
            <w:noWrap/>
            <w:vAlign w:val="center"/>
            <w:hideMark/>
          </w:tcPr>
          <w:p w14:paraId="424D2F2B" w14:textId="37881D13" w:rsidR="00665986" w:rsidRPr="008C3457" w:rsidRDefault="00665986">
            <w:pPr>
              <w:jc w:val="right"/>
              <w:rPr>
                <w:color w:val="000000"/>
                <w:sz w:val="16"/>
                <w:szCs w:val="16"/>
              </w:rPr>
            </w:pPr>
            <w:r>
              <w:rPr>
                <w:color w:val="000000"/>
                <w:sz w:val="16"/>
                <w:szCs w:val="16"/>
              </w:rPr>
              <w:t>-</w:t>
            </w:r>
          </w:p>
        </w:tc>
      </w:tr>
      <w:tr w:rsidR="00665986" w:rsidRPr="008C3457" w14:paraId="70F1F5FB" w14:textId="77777777" w:rsidTr="002B4425">
        <w:trPr>
          <w:trHeight w:val="259"/>
        </w:trPr>
        <w:tc>
          <w:tcPr>
            <w:tcW w:w="864" w:type="dxa"/>
            <w:vMerge/>
            <w:tcBorders>
              <w:left w:val="nil"/>
              <w:right w:val="nil"/>
            </w:tcBorders>
            <w:shd w:val="clear" w:color="auto" w:fill="auto"/>
            <w:noWrap/>
            <w:vAlign w:val="center"/>
            <w:hideMark/>
          </w:tcPr>
          <w:p w14:paraId="692DEAEF" w14:textId="34837429" w:rsidR="00665986" w:rsidRPr="008C3457" w:rsidRDefault="00665986" w:rsidP="002B4425">
            <w:pPr>
              <w:jc w:val="center"/>
              <w:rPr>
                <w:color w:val="000000"/>
                <w:sz w:val="16"/>
                <w:szCs w:val="16"/>
              </w:rPr>
            </w:pPr>
          </w:p>
        </w:tc>
        <w:tc>
          <w:tcPr>
            <w:tcW w:w="1397" w:type="dxa"/>
            <w:tcBorders>
              <w:top w:val="nil"/>
              <w:left w:val="nil"/>
              <w:bottom w:val="nil"/>
              <w:right w:val="nil"/>
            </w:tcBorders>
            <w:shd w:val="clear" w:color="auto" w:fill="auto"/>
            <w:noWrap/>
            <w:vAlign w:val="center"/>
            <w:hideMark/>
          </w:tcPr>
          <w:p w14:paraId="219AC53E" w14:textId="56706B14" w:rsidR="00665986" w:rsidRPr="008C3457" w:rsidRDefault="00665986">
            <w:pPr>
              <w:jc w:val="right"/>
              <w:rPr>
                <w:b/>
                <w:bCs/>
                <w:color w:val="000000"/>
                <w:sz w:val="16"/>
                <w:szCs w:val="16"/>
              </w:rPr>
            </w:pPr>
            <w:r>
              <w:rPr>
                <w:b/>
                <w:bCs/>
                <w:color w:val="000000"/>
                <w:sz w:val="16"/>
                <w:szCs w:val="16"/>
              </w:rPr>
              <w:t>Prises</w:t>
            </w:r>
            <w:r>
              <w:rPr>
                <w:b/>
                <w:bCs/>
                <w:color w:val="000000"/>
                <w:sz w:val="16"/>
                <w:szCs w:val="16"/>
                <w:vertAlign w:val="superscript"/>
              </w:rPr>
              <w:t>5</w:t>
            </w:r>
          </w:p>
        </w:tc>
        <w:tc>
          <w:tcPr>
            <w:tcW w:w="582" w:type="dxa"/>
            <w:tcBorders>
              <w:top w:val="nil"/>
              <w:left w:val="nil"/>
              <w:bottom w:val="nil"/>
              <w:right w:val="nil"/>
            </w:tcBorders>
            <w:shd w:val="clear" w:color="auto" w:fill="auto"/>
            <w:noWrap/>
            <w:vAlign w:val="center"/>
            <w:hideMark/>
          </w:tcPr>
          <w:p w14:paraId="498D9D03" w14:textId="1949BCDB" w:rsidR="00665986" w:rsidRPr="008C3457" w:rsidRDefault="00665986">
            <w:pPr>
              <w:jc w:val="right"/>
              <w:rPr>
                <w:color w:val="000000"/>
                <w:sz w:val="16"/>
                <w:szCs w:val="16"/>
              </w:rPr>
            </w:pPr>
            <w:r>
              <w:rPr>
                <w:color w:val="000000"/>
                <w:sz w:val="16"/>
                <w:szCs w:val="16"/>
              </w:rPr>
              <w:t xml:space="preserve">       132 </w:t>
            </w:r>
          </w:p>
        </w:tc>
        <w:tc>
          <w:tcPr>
            <w:tcW w:w="718" w:type="dxa"/>
            <w:tcBorders>
              <w:top w:val="nil"/>
              <w:left w:val="nil"/>
              <w:bottom w:val="nil"/>
              <w:right w:val="nil"/>
            </w:tcBorders>
            <w:shd w:val="clear" w:color="auto" w:fill="auto"/>
            <w:noWrap/>
            <w:vAlign w:val="center"/>
            <w:hideMark/>
          </w:tcPr>
          <w:p w14:paraId="58CD4C7D" w14:textId="4D8CDAD8" w:rsidR="00665986" w:rsidRPr="008C3457" w:rsidRDefault="00665986">
            <w:pPr>
              <w:jc w:val="right"/>
              <w:rPr>
                <w:color w:val="000000"/>
                <w:sz w:val="16"/>
                <w:szCs w:val="16"/>
              </w:rPr>
            </w:pPr>
            <w:r>
              <w:rPr>
                <w:color w:val="000000"/>
                <w:sz w:val="16"/>
                <w:szCs w:val="16"/>
              </w:rPr>
              <w:t xml:space="preserve">       136 </w:t>
            </w:r>
          </w:p>
        </w:tc>
        <w:tc>
          <w:tcPr>
            <w:tcW w:w="718" w:type="dxa"/>
            <w:tcBorders>
              <w:top w:val="nil"/>
              <w:left w:val="nil"/>
              <w:bottom w:val="nil"/>
              <w:right w:val="nil"/>
            </w:tcBorders>
            <w:shd w:val="clear" w:color="auto" w:fill="auto"/>
            <w:noWrap/>
            <w:vAlign w:val="center"/>
            <w:hideMark/>
          </w:tcPr>
          <w:p w14:paraId="56FC2D6D" w14:textId="3653D666" w:rsidR="00665986" w:rsidRPr="008C3457" w:rsidRDefault="00665986">
            <w:pPr>
              <w:jc w:val="right"/>
              <w:rPr>
                <w:color w:val="000000"/>
                <w:sz w:val="16"/>
                <w:szCs w:val="16"/>
              </w:rPr>
            </w:pPr>
            <w:r>
              <w:rPr>
                <w:color w:val="000000"/>
                <w:sz w:val="16"/>
                <w:szCs w:val="16"/>
              </w:rPr>
              <w:t xml:space="preserve">         82 </w:t>
            </w:r>
          </w:p>
        </w:tc>
        <w:tc>
          <w:tcPr>
            <w:tcW w:w="718" w:type="dxa"/>
            <w:tcBorders>
              <w:top w:val="nil"/>
              <w:left w:val="nil"/>
              <w:bottom w:val="nil"/>
              <w:right w:val="nil"/>
            </w:tcBorders>
            <w:shd w:val="clear" w:color="auto" w:fill="auto"/>
            <w:noWrap/>
            <w:vAlign w:val="center"/>
            <w:hideMark/>
          </w:tcPr>
          <w:p w14:paraId="23679C85" w14:textId="5824E449" w:rsidR="00665986" w:rsidRPr="008C3457" w:rsidRDefault="00665986">
            <w:pPr>
              <w:jc w:val="right"/>
              <w:rPr>
                <w:color w:val="000000"/>
                <w:sz w:val="16"/>
                <w:szCs w:val="16"/>
              </w:rPr>
            </w:pPr>
            <w:r>
              <w:rPr>
                <w:color w:val="000000"/>
                <w:sz w:val="16"/>
                <w:szCs w:val="16"/>
              </w:rPr>
              <w:t xml:space="preserve">         36 </w:t>
            </w:r>
          </w:p>
        </w:tc>
        <w:tc>
          <w:tcPr>
            <w:tcW w:w="718" w:type="dxa"/>
            <w:tcBorders>
              <w:top w:val="nil"/>
              <w:left w:val="nil"/>
              <w:bottom w:val="nil"/>
              <w:right w:val="nil"/>
            </w:tcBorders>
            <w:shd w:val="clear" w:color="auto" w:fill="auto"/>
            <w:noWrap/>
            <w:vAlign w:val="center"/>
            <w:hideMark/>
          </w:tcPr>
          <w:p w14:paraId="58EC5FB3" w14:textId="090015D9" w:rsidR="00665986" w:rsidRPr="008C3457" w:rsidRDefault="00665986">
            <w:pPr>
              <w:jc w:val="right"/>
              <w:rPr>
                <w:color w:val="000000"/>
                <w:sz w:val="16"/>
                <w:szCs w:val="16"/>
              </w:rPr>
            </w:pPr>
            <w:r>
              <w:rPr>
                <w:color w:val="000000"/>
                <w:sz w:val="16"/>
                <w:szCs w:val="16"/>
              </w:rPr>
              <w:t xml:space="preserve">         87 </w:t>
            </w:r>
          </w:p>
        </w:tc>
        <w:tc>
          <w:tcPr>
            <w:tcW w:w="766" w:type="dxa"/>
            <w:tcBorders>
              <w:top w:val="nil"/>
              <w:left w:val="nil"/>
              <w:bottom w:val="nil"/>
              <w:right w:val="nil"/>
            </w:tcBorders>
            <w:shd w:val="clear" w:color="auto" w:fill="auto"/>
            <w:noWrap/>
            <w:vAlign w:val="center"/>
            <w:hideMark/>
          </w:tcPr>
          <w:p w14:paraId="7F203781" w14:textId="1ED43F67" w:rsidR="00665986" w:rsidRPr="008C3457" w:rsidRDefault="00665986">
            <w:pPr>
              <w:jc w:val="right"/>
              <w:rPr>
                <w:color w:val="000000"/>
                <w:sz w:val="16"/>
                <w:szCs w:val="16"/>
              </w:rPr>
            </w:pPr>
            <w:r>
              <w:rPr>
                <w:color w:val="000000"/>
                <w:sz w:val="16"/>
                <w:szCs w:val="16"/>
              </w:rPr>
              <w:t xml:space="preserve">         42</w:t>
            </w:r>
            <w:r>
              <w:rPr>
                <w:color w:val="000000"/>
                <w:sz w:val="16"/>
                <w:szCs w:val="16"/>
                <w:vertAlign w:val="superscript"/>
              </w:rPr>
              <w:t>4</w:t>
            </w:r>
            <w:r>
              <w:rPr>
                <w:color w:val="000000"/>
                <w:sz w:val="16"/>
                <w:szCs w:val="16"/>
              </w:rPr>
              <w:t xml:space="preserve"> </w:t>
            </w:r>
          </w:p>
        </w:tc>
        <w:tc>
          <w:tcPr>
            <w:tcW w:w="718" w:type="dxa"/>
            <w:tcBorders>
              <w:top w:val="nil"/>
              <w:left w:val="nil"/>
              <w:bottom w:val="nil"/>
              <w:right w:val="nil"/>
            </w:tcBorders>
            <w:shd w:val="clear" w:color="auto" w:fill="auto"/>
            <w:noWrap/>
            <w:vAlign w:val="center"/>
            <w:hideMark/>
          </w:tcPr>
          <w:p w14:paraId="11FE5C22" w14:textId="7EFECC97" w:rsidR="00665986" w:rsidRPr="008C3457" w:rsidRDefault="00665986">
            <w:pPr>
              <w:jc w:val="right"/>
              <w:rPr>
                <w:color w:val="000000"/>
                <w:sz w:val="16"/>
                <w:szCs w:val="16"/>
              </w:rPr>
            </w:pPr>
            <w:r>
              <w:rPr>
                <w:color w:val="000000"/>
                <w:sz w:val="16"/>
                <w:szCs w:val="16"/>
              </w:rPr>
              <w:t>-</w:t>
            </w:r>
          </w:p>
        </w:tc>
        <w:tc>
          <w:tcPr>
            <w:tcW w:w="718" w:type="dxa"/>
            <w:tcBorders>
              <w:top w:val="nil"/>
              <w:left w:val="nil"/>
              <w:bottom w:val="nil"/>
              <w:right w:val="nil"/>
            </w:tcBorders>
            <w:shd w:val="clear" w:color="auto" w:fill="auto"/>
            <w:noWrap/>
            <w:vAlign w:val="center"/>
            <w:hideMark/>
          </w:tcPr>
          <w:p w14:paraId="66213906" w14:textId="1124BB0E" w:rsidR="00665986" w:rsidRPr="008C3457" w:rsidRDefault="00665986">
            <w:pPr>
              <w:jc w:val="right"/>
              <w:rPr>
                <w:color w:val="000000"/>
                <w:sz w:val="16"/>
                <w:szCs w:val="16"/>
              </w:rPr>
            </w:pPr>
            <w:r>
              <w:rPr>
                <w:color w:val="000000"/>
                <w:sz w:val="16"/>
                <w:szCs w:val="16"/>
              </w:rPr>
              <w:t>-</w:t>
            </w:r>
          </w:p>
        </w:tc>
        <w:tc>
          <w:tcPr>
            <w:tcW w:w="718" w:type="dxa"/>
            <w:tcBorders>
              <w:top w:val="nil"/>
              <w:left w:val="nil"/>
              <w:bottom w:val="nil"/>
              <w:right w:val="nil"/>
            </w:tcBorders>
            <w:shd w:val="clear" w:color="auto" w:fill="auto"/>
            <w:noWrap/>
            <w:vAlign w:val="center"/>
            <w:hideMark/>
          </w:tcPr>
          <w:p w14:paraId="23958F9F" w14:textId="4D5D5BE7" w:rsidR="00665986" w:rsidRPr="008C3457" w:rsidRDefault="00665986">
            <w:pPr>
              <w:jc w:val="right"/>
              <w:rPr>
                <w:color w:val="000000"/>
                <w:sz w:val="16"/>
                <w:szCs w:val="16"/>
              </w:rPr>
            </w:pPr>
            <w:r>
              <w:rPr>
                <w:color w:val="000000"/>
                <w:sz w:val="16"/>
                <w:szCs w:val="16"/>
              </w:rPr>
              <w:t>-</w:t>
            </w:r>
          </w:p>
        </w:tc>
        <w:tc>
          <w:tcPr>
            <w:tcW w:w="718" w:type="dxa"/>
            <w:tcBorders>
              <w:top w:val="nil"/>
              <w:left w:val="nil"/>
              <w:bottom w:val="nil"/>
              <w:right w:val="nil"/>
            </w:tcBorders>
            <w:shd w:val="clear" w:color="auto" w:fill="auto"/>
            <w:noWrap/>
            <w:vAlign w:val="center"/>
            <w:hideMark/>
          </w:tcPr>
          <w:p w14:paraId="3BB38494" w14:textId="3B0016E8" w:rsidR="00665986" w:rsidRPr="008C3457" w:rsidRDefault="00665986">
            <w:pPr>
              <w:jc w:val="right"/>
              <w:rPr>
                <w:color w:val="000000"/>
                <w:sz w:val="16"/>
                <w:szCs w:val="16"/>
              </w:rPr>
            </w:pPr>
            <w:r>
              <w:rPr>
                <w:color w:val="000000"/>
                <w:sz w:val="16"/>
                <w:szCs w:val="16"/>
              </w:rPr>
              <w:t>-</w:t>
            </w:r>
          </w:p>
        </w:tc>
      </w:tr>
      <w:tr w:rsidR="00665986" w:rsidRPr="008C3457" w14:paraId="56BA8720" w14:textId="77777777" w:rsidTr="002B4425">
        <w:trPr>
          <w:trHeight w:val="259"/>
        </w:trPr>
        <w:tc>
          <w:tcPr>
            <w:tcW w:w="864" w:type="dxa"/>
            <w:vMerge/>
            <w:tcBorders>
              <w:left w:val="nil"/>
              <w:bottom w:val="single" w:sz="8" w:space="0" w:color="auto"/>
              <w:right w:val="nil"/>
            </w:tcBorders>
            <w:shd w:val="clear" w:color="auto" w:fill="auto"/>
            <w:noWrap/>
            <w:vAlign w:val="center"/>
            <w:hideMark/>
          </w:tcPr>
          <w:p w14:paraId="0D76A4AF" w14:textId="4388FDC9" w:rsidR="00665986" w:rsidRPr="008C3457" w:rsidRDefault="00665986">
            <w:pPr>
              <w:jc w:val="center"/>
              <w:rPr>
                <w:b/>
                <w:bCs/>
                <w:color w:val="000000"/>
                <w:sz w:val="16"/>
                <w:szCs w:val="16"/>
              </w:rPr>
            </w:pPr>
          </w:p>
        </w:tc>
        <w:tc>
          <w:tcPr>
            <w:tcW w:w="1397" w:type="dxa"/>
            <w:tcBorders>
              <w:top w:val="nil"/>
              <w:left w:val="nil"/>
              <w:bottom w:val="single" w:sz="8" w:space="0" w:color="auto"/>
              <w:right w:val="nil"/>
            </w:tcBorders>
            <w:shd w:val="clear" w:color="auto" w:fill="auto"/>
            <w:noWrap/>
            <w:vAlign w:val="center"/>
            <w:hideMark/>
          </w:tcPr>
          <w:p w14:paraId="1B9882DA" w14:textId="005C46AB" w:rsidR="00665986" w:rsidRPr="008C3457" w:rsidRDefault="00665986">
            <w:pPr>
              <w:jc w:val="right"/>
              <w:rPr>
                <w:b/>
                <w:bCs/>
                <w:color w:val="000000"/>
                <w:sz w:val="16"/>
                <w:szCs w:val="16"/>
              </w:rPr>
            </w:pPr>
            <w:r>
              <w:rPr>
                <w:b/>
                <w:bCs/>
                <w:color w:val="000000"/>
                <w:sz w:val="16"/>
                <w:szCs w:val="16"/>
              </w:rPr>
              <w:t>Prises</w:t>
            </w:r>
            <w:r>
              <w:rPr>
                <w:b/>
                <w:bCs/>
                <w:color w:val="000000"/>
                <w:sz w:val="16"/>
                <w:szCs w:val="16"/>
                <w:vertAlign w:val="superscript"/>
              </w:rPr>
              <w:t>6</w:t>
            </w:r>
          </w:p>
        </w:tc>
        <w:tc>
          <w:tcPr>
            <w:tcW w:w="582" w:type="dxa"/>
            <w:tcBorders>
              <w:top w:val="nil"/>
              <w:left w:val="nil"/>
              <w:bottom w:val="single" w:sz="8" w:space="0" w:color="auto"/>
              <w:right w:val="nil"/>
            </w:tcBorders>
            <w:shd w:val="clear" w:color="auto" w:fill="auto"/>
            <w:noWrap/>
            <w:vAlign w:val="center"/>
            <w:hideMark/>
          </w:tcPr>
          <w:p w14:paraId="44E09E4A" w14:textId="7520DD09" w:rsidR="00665986" w:rsidRPr="008C3457" w:rsidRDefault="00665986">
            <w:pPr>
              <w:jc w:val="right"/>
              <w:rPr>
                <w:color w:val="000000"/>
                <w:sz w:val="16"/>
                <w:szCs w:val="16"/>
              </w:rPr>
            </w:pPr>
            <w:r>
              <w:rPr>
                <w:color w:val="000000"/>
                <w:sz w:val="16"/>
                <w:szCs w:val="16"/>
              </w:rPr>
              <w:t xml:space="preserve">       218 </w:t>
            </w:r>
          </w:p>
        </w:tc>
        <w:tc>
          <w:tcPr>
            <w:tcW w:w="718" w:type="dxa"/>
            <w:tcBorders>
              <w:top w:val="nil"/>
              <w:left w:val="nil"/>
              <w:bottom w:val="single" w:sz="8" w:space="0" w:color="auto"/>
              <w:right w:val="nil"/>
            </w:tcBorders>
            <w:shd w:val="clear" w:color="auto" w:fill="auto"/>
            <w:noWrap/>
            <w:vAlign w:val="center"/>
            <w:hideMark/>
          </w:tcPr>
          <w:p w14:paraId="78256674" w14:textId="2A3D5344" w:rsidR="00665986" w:rsidRPr="008C3457" w:rsidRDefault="00665986">
            <w:pPr>
              <w:jc w:val="right"/>
              <w:rPr>
                <w:color w:val="000000"/>
                <w:sz w:val="16"/>
                <w:szCs w:val="16"/>
              </w:rPr>
            </w:pPr>
            <w:r>
              <w:rPr>
                <w:color w:val="000000"/>
                <w:sz w:val="16"/>
                <w:szCs w:val="16"/>
              </w:rPr>
              <w:t xml:space="preserve">       159 </w:t>
            </w:r>
          </w:p>
        </w:tc>
        <w:tc>
          <w:tcPr>
            <w:tcW w:w="718" w:type="dxa"/>
            <w:tcBorders>
              <w:top w:val="nil"/>
              <w:left w:val="nil"/>
              <w:bottom w:val="single" w:sz="8" w:space="0" w:color="auto"/>
              <w:right w:val="nil"/>
            </w:tcBorders>
            <w:shd w:val="clear" w:color="auto" w:fill="auto"/>
            <w:noWrap/>
            <w:vAlign w:val="center"/>
            <w:hideMark/>
          </w:tcPr>
          <w:p w14:paraId="4DD86DB8" w14:textId="3716C4F6" w:rsidR="00665986" w:rsidRPr="008C3457" w:rsidRDefault="00665986">
            <w:pPr>
              <w:jc w:val="right"/>
              <w:rPr>
                <w:color w:val="000000"/>
                <w:sz w:val="16"/>
                <w:szCs w:val="16"/>
              </w:rPr>
            </w:pPr>
            <w:r>
              <w:rPr>
                <w:color w:val="000000"/>
                <w:sz w:val="16"/>
                <w:szCs w:val="16"/>
              </w:rPr>
              <w:t xml:space="preserve">       118 </w:t>
            </w:r>
          </w:p>
        </w:tc>
        <w:tc>
          <w:tcPr>
            <w:tcW w:w="718" w:type="dxa"/>
            <w:tcBorders>
              <w:top w:val="nil"/>
              <w:left w:val="nil"/>
              <w:bottom w:val="single" w:sz="8" w:space="0" w:color="auto"/>
              <w:right w:val="nil"/>
            </w:tcBorders>
            <w:shd w:val="clear" w:color="auto" w:fill="auto"/>
            <w:noWrap/>
            <w:vAlign w:val="center"/>
            <w:hideMark/>
          </w:tcPr>
          <w:p w14:paraId="02F6162C" w14:textId="251F2D40" w:rsidR="00665986" w:rsidRPr="008C3457" w:rsidRDefault="00665986">
            <w:pPr>
              <w:jc w:val="right"/>
              <w:rPr>
                <w:color w:val="000000"/>
                <w:sz w:val="16"/>
                <w:szCs w:val="16"/>
              </w:rPr>
            </w:pPr>
            <w:r>
              <w:rPr>
                <w:color w:val="000000"/>
                <w:sz w:val="16"/>
                <w:szCs w:val="16"/>
              </w:rPr>
              <w:t xml:space="preserve">         44 </w:t>
            </w:r>
          </w:p>
        </w:tc>
        <w:tc>
          <w:tcPr>
            <w:tcW w:w="718" w:type="dxa"/>
            <w:tcBorders>
              <w:top w:val="nil"/>
              <w:left w:val="nil"/>
              <w:bottom w:val="single" w:sz="8" w:space="0" w:color="auto"/>
              <w:right w:val="nil"/>
            </w:tcBorders>
            <w:shd w:val="clear" w:color="auto" w:fill="auto"/>
            <w:noWrap/>
            <w:vAlign w:val="center"/>
            <w:hideMark/>
          </w:tcPr>
          <w:p w14:paraId="35BD3FCC" w14:textId="038E2795" w:rsidR="00665986" w:rsidRPr="008C3457" w:rsidRDefault="00665986">
            <w:pPr>
              <w:jc w:val="right"/>
              <w:rPr>
                <w:color w:val="000000"/>
                <w:sz w:val="16"/>
                <w:szCs w:val="16"/>
              </w:rPr>
            </w:pPr>
            <w:r>
              <w:rPr>
                <w:color w:val="000000"/>
                <w:sz w:val="16"/>
                <w:szCs w:val="16"/>
              </w:rPr>
              <w:t xml:space="preserve">         95 </w:t>
            </w:r>
          </w:p>
        </w:tc>
        <w:tc>
          <w:tcPr>
            <w:tcW w:w="766" w:type="dxa"/>
            <w:tcBorders>
              <w:top w:val="nil"/>
              <w:left w:val="nil"/>
              <w:bottom w:val="single" w:sz="8" w:space="0" w:color="auto"/>
              <w:right w:val="nil"/>
            </w:tcBorders>
            <w:shd w:val="clear" w:color="auto" w:fill="auto"/>
            <w:noWrap/>
            <w:vAlign w:val="center"/>
            <w:hideMark/>
          </w:tcPr>
          <w:p w14:paraId="3845363A" w14:textId="01E7639F" w:rsidR="00665986" w:rsidRPr="008C3457" w:rsidRDefault="00665986">
            <w:pPr>
              <w:jc w:val="right"/>
              <w:rPr>
                <w:color w:val="000000"/>
                <w:sz w:val="16"/>
                <w:szCs w:val="16"/>
              </w:rPr>
            </w:pPr>
            <w:r>
              <w:rPr>
                <w:color w:val="000000"/>
                <w:sz w:val="16"/>
                <w:szCs w:val="16"/>
              </w:rPr>
              <w:t xml:space="preserve">         45 </w:t>
            </w:r>
          </w:p>
        </w:tc>
        <w:tc>
          <w:tcPr>
            <w:tcW w:w="718" w:type="dxa"/>
            <w:tcBorders>
              <w:top w:val="nil"/>
              <w:left w:val="nil"/>
              <w:bottom w:val="single" w:sz="8" w:space="0" w:color="auto"/>
              <w:right w:val="nil"/>
            </w:tcBorders>
            <w:shd w:val="clear" w:color="auto" w:fill="auto"/>
            <w:noWrap/>
            <w:vAlign w:val="center"/>
            <w:hideMark/>
          </w:tcPr>
          <w:p w14:paraId="523E13A1" w14:textId="4140AED1" w:rsidR="00665986" w:rsidRPr="008C3457" w:rsidRDefault="00665986">
            <w:pPr>
              <w:jc w:val="right"/>
              <w:rPr>
                <w:color w:val="000000"/>
                <w:sz w:val="16"/>
                <w:szCs w:val="16"/>
              </w:rPr>
            </w:pPr>
            <w:r>
              <w:rPr>
                <w:color w:val="000000"/>
                <w:sz w:val="16"/>
                <w:szCs w:val="16"/>
              </w:rPr>
              <w:t xml:space="preserve">- </w:t>
            </w:r>
          </w:p>
        </w:tc>
        <w:tc>
          <w:tcPr>
            <w:tcW w:w="718" w:type="dxa"/>
            <w:tcBorders>
              <w:top w:val="nil"/>
              <w:left w:val="nil"/>
              <w:bottom w:val="single" w:sz="8" w:space="0" w:color="auto"/>
              <w:right w:val="nil"/>
            </w:tcBorders>
            <w:shd w:val="clear" w:color="auto" w:fill="auto"/>
            <w:noWrap/>
            <w:vAlign w:val="center"/>
            <w:hideMark/>
          </w:tcPr>
          <w:p w14:paraId="3283E90C" w14:textId="04773784" w:rsidR="00665986" w:rsidRPr="008C3457" w:rsidRDefault="00665986">
            <w:pPr>
              <w:jc w:val="right"/>
              <w:rPr>
                <w:color w:val="000000"/>
                <w:sz w:val="16"/>
                <w:szCs w:val="16"/>
              </w:rPr>
            </w:pPr>
            <w:r>
              <w:rPr>
                <w:color w:val="000000"/>
                <w:sz w:val="16"/>
                <w:szCs w:val="16"/>
              </w:rPr>
              <w:t xml:space="preserve">    5 080 </w:t>
            </w:r>
          </w:p>
        </w:tc>
        <w:tc>
          <w:tcPr>
            <w:tcW w:w="718" w:type="dxa"/>
            <w:tcBorders>
              <w:top w:val="nil"/>
              <w:left w:val="nil"/>
              <w:bottom w:val="single" w:sz="8" w:space="0" w:color="auto"/>
              <w:right w:val="nil"/>
            </w:tcBorders>
            <w:shd w:val="clear" w:color="auto" w:fill="auto"/>
            <w:noWrap/>
            <w:vAlign w:val="center"/>
            <w:hideMark/>
          </w:tcPr>
          <w:p w14:paraId="099037DF" w14:textId="572D4273" w:rsidR="00665986" w:rsidRPr="008C3457" w:rsidRDefault="00665986">
            <w:pPr>
              <w:jc w:val="right"/>
              <w:rPr>
                <w:color w:val="000000"/>
                <w:sz w:val="16"/>
                <w:szCs w:val="16"/>
              </w:rPr>
            </w:pPr>
            <w:r>
              <w:rPr>
                <w:color w:val="000000"/>
                <w:sz w:val="16"/>
                <w:szCs w:val="16"/>
              </w:rPr>
              <w:t xml:space="preserve">         44 </w:t>
            </w:r>
          </w:p>
        </w:tc>
        <w:tc>
          <w:tcPr>
            <w:tcW w:w="718" w:type="dxa"/>
            <w:tcBorders>
              <w:top w:val="nil"/>
              <w:left w:val="nil"/>
              <w:bottom w:val="single" w:sz="8" w:space="0" w:color="auto"/>
              <w:right w:val="nil"/>
            </w:tcBorders>
            <w:shd w:val="clear" w:color="auto" w:fill="auto"/>
            <w:noWrap/>
            <w:vAlign w:val="center"/>
            <w:hideMark/>
          </w:tcPr>
          <w:p w14:paraId="7CBC1690" w14:textId="08899A05" w:rsidR="00665986" w:rsidRPr="008C3457" w:rsidRDefault="00665986">
            <w:pPr>
              <w:jc w:val="right"/>
              <w:rPr>
                <w:color w:val="000000"/>
                <w:sz w:val="16"/>
                <w:szCs w:val="16"/>
              </w:rPr>
            </w:pPr>
            <w:r>
              <w:rPr>
                <w:color w:val="000000"/>
                <w:sz w:val="16"/>
                <w:szCs w:val="16"/>
              </w:rPr>
              <w:t xml:space="preserve">  17 211 </w:t>
            </w:r>
          </w:p>
        </w:tc>
      </w:tr>
    </w:tbl>
    <w:p w14:paraId="41E5AC2A" w14:textId="625BA8B4" w:rsidR="00673B48" w:rsidRPr="00665986" w:rsidRDefault="00673B48" w:rsidP="00665986">
      <w:pPr>
        <w:rPr>
          <w:rFonts w:cs="Arial"/>
          <w:color w:val="000000" w:themeColor="text1"/>
          <w:sz w:val="16"/>
          <w:szCs w:val="16"/>
        </w:rPr>
      </w:pPr>
      <w:r w:rsidRPr="00665986">
        <w:rPr>
          <w:rFonts w:cs="Arial"/>
          <w:color w:val="000000" w:themeColor="text1"/>
          <w:sz w:val="16"/>
          <w:szCs w:val="16"/>
          <w:vertAlign w:val="superscript"/>
        </w:rPr>
        <w:t>1</w:t>
      </w:r>
      <w:r w:rsidRPr="00665986">
        <w:rPr>
          <w:rFonts w:cs="Arial"/>
          <w:color w:val="000000" w:themeColor="text1"/>
          <w:sz w:val="16"/>
          <w:szCs w:val="16"/>
        </w:rPr>
        <w:t xml:space="preserve"> De 1973 à 2018 </w:t>
      </w:r>
    </w:p>
    <w:p w14:paraId="230A970F" w14:textId="7233309F" w:rsidR="006A2F68" w:rsidRPr="00665986" w:rsidRDefault="00673B48" w:rsidP="00665986">
      <w:pPr>
        <w:rPr>
          <w:rFonts w:cs="Arial"/>
          <w:color w:val="000000" w:themeColor="text1"/>
          <w:sz w:val="16"/>
          <w:szCs w:val="16"/>
          <w:vertAlign w:val="superscript"/>
        </w:rPr>
      </w:pPr>
      <w:r w:rsidRPr="00665986">
        <w:rPr>
          <w:rFonts w:cs="Arial"/>
          <w:color w:val="000000" w:themeColor="text1"/>
          <w:sz w:val="16"/>
          <w:szCs w:val="16"/>
          <w:vertAlign w:val="superscript"/>
        </w:rPr>
        <w:t>2</w:t>
      </w:r>
      <w:r w:rsidRPr="00665986">
        <w:rPr>
          <w:rFonts w:cs="Arial"/>
          <w:color w:val="000000" w:themeColor="text1"/>
          <w:sz w:val="16"/>
          <w:szCs w:val="16"/>
        </w:rPr>
        <w:t xml:space="preserve"> Sauf indication contraire, toutes les valeurs déclarées s</w:t>
      </w:r>
      <w:r w:rsidR="00D62505" w:rsidRPr="00665986">
        <w:rPr>
          <w:rFonts w:cs="Arial"/>
          <w:color w:val="000000" w:themeColor="text1"/>
          <w:sz w:val="16"/>
          <w:szCs w:val="16"/>
        </w:rPr>
        <w:t>’</w:t>
      </w:r>
      <w:r w:rsidRPr="00665986">
        <w:rPr>
          <w:rFonts w:cs="Arial"/>
          <w:color w:val="000000" w:themeColor="text1"/>
          <w:sz w:val="16"/>
          <w:szCs w:val="16"/>
        </w:rPr>
        <w:t>appliquent à l</w:t>
      </w:r>
      <w:r w:rsidR="00D62505" w:rsidRPr="00665986">
        <w:rPr>
          <w:rFonts w:cs="Arial"/>
          <w:color w:val="000000" w:themeColor="text1"/>
          <w:sz w:val="16"/>
          <w:szCs w:val="16"/>
        </w:rPr>
        <w:t>’</w:t>
      </w:r>
      <w:r w:rsidRPr="00665986">
        <w:rPr>
          <w:rFonts w:cs="Arial"/>
          <w:color w:val="000000" w:themeColor="text1"/>
          <w:sz w:val="16"/>
          <w:szCs w:val="16"/>
        </w:rPr>
        <w:t>année civile.</w:t>
      </w:r>
    </w:p>
    <w:p w14:paraId="27E81128" w14:textId="47AB318E" w:rsidR="00673B48" w:rsidRPr="00665986" w:rsidRDefault="00F20856" w:rsidP="00665986">
      <w:pPr>
        <w:rPr>
          <w:rFonts w:cs="Arial"/>
          <w:color w:val="000000" w:themeColor="text1"/>
          <w:sz w:val="16"/>
          <w:szCs w:val="16"/>
        </w:rPr>
      </w:pPr>
      <w:r w:rsidRPr="00665986">
        <w:rPr>
          <w:rFonts w:cs="Arial"/>
          <w:color w:val="000000" w:themeColor="text1"/>
          <w:sz w:val="16"/>
          <w:szCs w:val="16"/>
          <w:vertAlign w:val="superscript"/>
        </w:rPr>
        <w:t>3</w:t>
      </w:r>
      <w:r w:rsidRPr="00665986">
        <w:rPr>
          <w:rFonts w:cs="Arial"/>
          <w:color w:val="000000" w:themeColor="text1"/>
          <w:sz w:val="16"/>
          <w:szCs w:val="16"/>
        </w:rPr>
        <w:t xml:space="preserve"> Pour l</w:t>
      </w:r>
      <w:r w:rsidR="00D62505" w:rsidRPr="00665986">
        <w:rPr>
          <w:rFonts w:cs="Arial"/>
          <w:color w:val="000000" w:themeColor="text1"/>
          <w:sz w:val="16"/>
          <w:szCs w:val="16"/>
        </w:rPr>
        <w:t>’</w:t>
      </w:r>
      <w:r w:rsidRPr="00665986">
        <w:rPr>
          <w:rFonts w:cs="Arial"/>
          <w:color w:val="000000" w:themeColor="text1"/>
          <w:sz w:val="16"/>
          <w:szCs w:val="16"/>
        </w:rPr>
        <w:t>année de pêche qui va du 1</w:t>
      </w:r>
      <w:r w:rsidRPr="00665986">
        <w:rPr>
          <w:rFonts w:cs="Arial"/>
          <w:color w:val="000000" w:themeColor="text1"/>
          <w:sz w:val="16"/>
          <w:szCs w:val="16"/>
          <w:vertAlign w:val="superscript"/>
        </w:rPr>
        <w:t>er</w:t>
      </w:r>
      <w:r w:rsidRPr="00665986">
        <w:rPr>
          <w:rFonts w:cs="Arial"/>
          <w:color w:val="000000" w:themeColor="text1"/>
          <w:sz w:val="16"/>
          <w:szCs w:val="16"/>
        </w:rPr>
        <w:t> mai de l</w:t>
      </w:r>
      <w:r w:rsidR="00D62505" w:rsidRPr="00665986">
        <w:rPr>
          <w:rFonts w:cs="Arial"/>
          <w:color w:val="000000" w:themeColor="text1"/>
          <w:sz w:val="16"/>
          <w:szCs w:val="16"/>
        </w:rPr>
        <w:t>’</w:t>
      </w:r>
      <w:r w:rsidRPr="00665986">
        <w:rPr>
          <w:rFonts w:cs="Arial"/>
          <w:color w:val="000000" w:themeColor="text1"/>
          <w:sz w:val="16"/>
          <w:szCs w:val="16"/>
        </w:rPr>
        <w:t>année en cours au 30 avril de l</w:t>
      </w:r>
      <w:r w:rsidR="00D62505" w:rsidRPr="00665986">
        <w:rPr>
          <w:rFonts w:cs="Arial"/>
          <w:color w:val="000000" w:themeColor="text1"/>
          <w:sz w:val="16"/>
          <w:szCs w:val="16"/>
        </w:rPr>
        <w:t>’</w:t>
      </w:r>
      <w:r w:rsidRPr="00665986">
        <w:rPr>
          <w:rFonts w:cs="Arial"/>
          <w:color w:val="000000" w:themeColor="text1"/>
          <w:sz w:val="16"/>
          <w:szCs w:val="16"/>
        </w:rPr>
        <w:t>année suivante.</w:t>
      </w:r>
    </w:p>
    <w:p w14:paraId="0CE6EDEC" w14:textId="518DE803" w:rsidR="006A2F68" w:rsidRPr="00665986" w:rsidRDefault="00F20856" w:rsidP="00665986">
      <w:pPr>
        <w:rPr>
          <w:rFonts w:cs="Arial"/>
          <w:color w:val="000000" w:themeColor="text1"/>
          <w:sz w:val="16"/>
          <w:szCs w:val="16"/>
        </w:rPr>
      </w:pPr>
      <w:r w:rsidRPr="00665986">
        <w:rPr>
          <w:rFonts w:cs="Arial"/>
          <w:color w:val="000000" w:themeColor="text1"/>
          <w:sz w:val="16"/>
          <w:szCs w:val="16"/>
          <w:vertAlign w:val="superscript"/>
        </w:rPr>
        <w:t>4</w:t>
      </w:r>
      <w:r w:rsidRPr="00665986">
        <w:rPr>
          <w:rFonts w:cs="Arial"/>
          <w:color w:val="000000" w:themeColor="text1"/>
          <w:sz w:val="16"/>
          <w:szCs w:val="16"/>
        </w:rPr>
        <w:t xml:space="preserve"> Estimation préliminaire</w:t>
      </w:r>
      <w:r w:rsidR="00FD194D" w:rsidRPr="00665986">
        <w:rPr>
          <w:rFonts w:cs="Arial"/>
          <w:color w:val="000000" w:themeColor="text1"/>
          <w:sz w:val="16"/>
          <w:szCs w:val="16"/>
        </w:rPr>
        <w:t xml:space="preserve">. </w:t>
      </w:r>
    </w:p>
    <w:p w14:paraId="124227AA" w14:textId="47FCCE1D" w:rsidR="006A2F68" w:rsidRPr="00665986" w:rsidRDefault="00F20856" w:rsidP="00665986">
      <w:pPr>
        <w:rPr>
          <w:rFonts w:cs="Arial"/>
          <w:color w:val="000000" w:themeColor="text1"/>
          <w:sz w:val="16"/>
          <w:szCs w:val="16"/>
        </w:rPr>
      </w:pPr>
      <w:r w:rsidRPr="00665986">
        <w:rPr>
          <w:rFonts w:cs="Arial"/>
          <w:color w:val="000000" w:themeColor="text1"/>
          <w:sz w:val="16"/>
          <w:szCs w:val="16"/>
          <w:vertAlign w:val="superscript"/>
        </w:rPr>
        <w:t>5</w:t>
      </w:r>
      <w:r w:rsidRPr="00665986">
        <w:rPr>
          <w:rFonts w:cs="Arial"/>
          <w:color w:val="000000" w:themeColor="text1"/>
          <w:sz w:val="16"/>
          <w:szCs w:val="16"/>
        </w:rPr>
        <w:t xml:space="preserve"> Pour l</w:t>
      </w:r>
      <w:r w:rsidR="00D62505" w:rsidRPr="00665986">
        <w:rPr>
          <w:rFonts w:cs="Arial"/>
          <w:color w:val="000000" w:themeColor="text1"/>
          <w:sz w:val="16"/>
          <w:szCs w:val="16"/>
        </w:rPr>
        <w:t>’</w:t>
      </w:r>
      <w:r w:rsidRPr="00665986">
        <w:rPr>
          <w:rFonts w:cs="Arial"/>
          <w:color w:val="000000" w:themeColor="text1"/>
          <w:sz w:val="16"/>
          <w:szCs w:val="16"/>
        </w:rPr>
        <w:t>année civile au Canada et pour l</w:t>
      </w:r>
      <w:r w:rsidR="00D62505" w:rsidRPr="00665986">
        <w:rPr>
          <w:rFonts w:cs="Arial"/>
          <w:color w:val="000000" w:themeColor="text1"/>
          <w:sz w:val="16"/>
          <w:szCs w:val="16"/>
        </w:rPr>
        <w:t>’</w:t>
      </w:r>
      <w:r w:rsidRPr="00665986">
        <w:rPr>
          <w:rFonts w:cs="Arial"/>
          <w:color w:val="000000" w:themeColor="text1"/>
          <w:sz w:val="16"/>
          <w:szCs w:val="16"/>
        </w:rPr>
        <w:t>année de pêche aux États-Unis, qui va du 1</w:t>
      </w:r>
      <w:r w:rsidRPr="00665986">
        <w:rPr>
          <w:rFonts w:cs="Arial"/>
          <w:color w:val="000000" w:themeColor="text1"/>
          <w:sz w:val="16"/>
          <w:szCs w:val="16"/>
          <w:vertAlign w:val="superscript"/>
        </w:rPr>
        <w:t>er</w:t>
      </w:r>
      <w:r w:rsidRPr="00665986">
        <w:rPr>
          <w:rFonts w:cs="Arial"/>
          <w:color w:val="000000" w:themeColor="text1"/>
          <w:sz w:val="16"/>
          <w:szCs w:val="16"/>
        </w:rPr>
        <w:t> mai de l</w:t>
      </w:r>
      <w:r w:rsidR="00D62505" w:rsidRPr="00665986">
        <w:rPr>
          <w:rFonts w:cs="Arial"/>
          <w:color w:val="000000" w:themeColor="text1"/>
          <w:sz w:val="16"/>
          <w:szCs w:val="16"/>
        </w:rPr>
        <w:t>’</w:t>
      </w:r>
      <w:r w:rsidRPr="00665986">
        <w:rPr>
          <w:rFonts w:cs="Arial"/>
          <w:color w:val="000000" w:themeColor="text1"/>
          <w:sz w:val="16"/>
          <w:szCs w:val="16"/>
        </w:rPr>
        <w:t>année en cours au 30 avril de l</w:t>
      </w:r>
      <w:r w:rsidR="00D62505" w:rsidRPr="00665986">
        <w:rPr>
          <w:rFonts w:cs="Arial"/>
          <w:color w:val="000000" w:themeColor="text1"/>
          <w:sz w:val="16"/>
          <w:szCs w:val="16"/>
        </w:rPr>
        <w:t>’</w:t>
      </w:r>
      <w:r w:rsidRPr="00665986">
        <w:rPr>
          <w:rFonts w:cs="Arial"/>
          <w:color w:val="000000" w:themeColor="text1"/>
          <w:sz w:val="16"/>
          <w:szCs w:val="16"/>
        </w:rPr>
        <w:t>année suivante.</w:t>
      </w:r>
    </w:p>
    <w:p w14:paraId="0EF86FB0" w14:textId="2B91AE14" w:rsidR="006A2F68" w:rsidRPr="00665986" w:rsidRDefault="00F20856" w:rsidP="00665986">
      <w:pPr>
        <w:rPr>
          <w:rFonts w:cs="Arial"/>
          <w:color w:val="000000" w:themeColor="text1"/>
          <w:sz w:val="16"/>
          <w:szCs w:val="16"/>
        </w:rPr>
      </w:pPr>
      <w:r w:rsidRPr="00665986">
        <w:rPr>
          <w:rFonts w:cs="Arial"/>
          <w:color w:val="000000" w:themeColor="text1"/>
          <w:sz w:val="16"/>
          <w:szCs w:val="16"/>
          <w:vertAlign w:val="superscript"/>
        </w:rPr>
        <w:t>6</w:t>
      </w:r>
      <w:r w:rsidRPr="00665986">
        <w:rPr>
          <w:rFonts w:cs="Arial"/>
          <w:color w:val="000000" w:themeColor="text1"/>
          <w:sz w:val="16"/>
          <w:szCs w:val="16"/>
        </w:rPr>
        <w:t xml:space="preserve"> Somme des débarquements et des rejets canadiens et des prises américaines (y compris les rejets). </w:t>
      </w:r>
    </w:p>
    <w:p w14:paraId="44D197C3" w14:textId="77777777" w:rsidR="00DC56C4" w:rsidRPr="00665986" w:rsidRDefault="00673B48" w:rsidP="00665986">
      <w:pPr>
        <w:rPr>
          <w:rFonts w:cs="Arial"/>
          <w:color w:val="000000" w:themeColor="text1"/>
          <w:sz w:val="16"/>
          <w:szCs w:val="16"/>
        </w:rPr>
      </w:pPr>
      <w:r w:rsidRPr="00665986">
        <w:rPr>
          <w:rFonts w:cs="Arial"/>
          <w:color w:val="000000" w:themeColor="text1"/>
          <w:sz w:val="16"/>
          <w:szCs w:val="16"/>
        </w:rPr>
        <w:t xml:space="preserve">Pêche </w:t>
      </w:r>
    </w:p>
    <w:p w14:paraId="24C18DEC" w14:textId="2DFF17B0" w:rsidR="00673B48" w:rsidRPr="008C3457" w:rsidRDefault="00673B48" w:rsidP="008E5EE1">
      <w:pPr>
        <w:pStyle w:val="BodyText"/>
      </w:pPr>
      <w:r w:rsidRPr="005A142E">
        <w:rPr>
          <w:lang w:val="fr-CA"/>
        </w:rPr>
        <w:t xml:space="preserve">Les </w:t>
      </w:r>
      <w:r w:rsidRPr="005A142E">
        <w:rPr>
          <w:b/>
          <w:bCs/>
          <w:lang w:val="fr-CA"/>
        </w:rPr>
        <w:t>prises totales</w:t>
      </w:r>
      <w:r w:rsidRPr="005A142E">
        <w:rPr>
          <w:lang w:val="fr-CA"/>
        </w:rPr>
        <w:t xml:space="preserve"> de limandes à queue jaune sur le banc de Georges ont atteint un sommet d</w:t>
      </w:r>
      <w:r w:rsidR="00D62505" w:rsidRPr="005A142E">
        <w:rPr>
          <w:lang w:val="fr-CA"/>
        </w:rPr>
        <w:t>’</w:t>
      </w:r>
      <w:r w:rsidRPr="005A142E">
        <w:rPr>
          <w:lang w:val="fr-CA"/>
        </w:rPr>
        <w:t>environ 21 000 </w:t>
      </w:r>
      <w:proofErr w:type="spellStart"/>
      <w:r w:rsidRPr="005A142E">
        <w:rPr>
          <w:lang w:val="fr-CA"/>
        </w:rPr>
        <w:t>tm</w:t>
      </w:r>
      <w:proofErr w:type="spellEnd"/>
      <w:r w:rsidRPr="005A142E">
        <w:rPr>
          <w:lang w:val="fr-CA"/>
        </w:rPr>
        <w:t xml:space="preserve"> en 1969 et en 1970 (figure 1). </w:t>
      </w:r>
      <w:r>
        <w:t xml:space="preserve">Les </w:t>
      </w:r>
      <w:proofErr w:type="spellStart"/>
      <w:r>
        <w:t>prises</w:t>
      </w:r>
      <w:proofErr w:type="spellEnd"/>
      <w:r>
        <w:t xml:space="preserve"> </w:t>
      </w:r>
      <w:proofErr w:type="spellStart"/>
      <w:r>
        <w:t>combinées</w:t>
      </w:r>
      <w:proofErr w:type="spellEnd"/>
      <w:r>
        <w:t xml:space="preserve"> du Canada et des </w:t>
      </w:r>
      <w:proofErr w:type="spellStart"/>
      <w:r>
        <w:t>États</w:t>
      </w:r>
      <w:proofErr w:type="spellEnd"/>
      <w:r>
        <w:t xml:space="preserve">-Unis </w:t>
      </w:r>
      <w:proofErr w:type="spellStart"/>
      <w:r>
        <w:t>ont</w:t>
      </w:r>
      <w:proofErr w:type="spellEnd"/>
      <w:r>
        <w:t xml:space="preserve"> </w:t>
      </w:r>
      <w:proofErr w:type="spellStart"/>
      <w:r>
        <w:t>augmenté</w:t>
      </w:r>
      <w:proofErr w:type="spellEnd"/>
      <w:r>
        <w:t xml:space="preserve"> de 1995 à 2001, se </w:t>
      </w:r>
      <w:proofErr w:type="spellStart"/>
      <w:r>
        <w:t>sont</w:t>
      </w:r>
      <w:proofErr w:type="spellEnd"/>
      <w:r>
        <w:t xml:space="preserve"> </w:t>
      </w:r>
      <w:proofErr w:type="spellStart"/>
      <w:r>
        <w:t>situées</w:t>
      </w:r>
      <w:proofErr w:type="spellEnd"/>
      <w:r>
        <w:t xml:space="preserve"> </w:t>
      </w:r>
      <w:proofErr w:type="spellStart"/>
      <w:r>
        <w:t>chaque</w:t>
      </w:r>
      <w:proofErr w:type="spellEnd"/>
      <w:r>
        <w:t xml:space="preserve"> </w:t>
      </w:r>
      <w:proofErr w:type="spellStart"/>
      <w:r>
        <w:t>année</w:t>
      </w:r>
      <w:proofErr w:type="spellEnd"/>
      <w:r>
        <w:t xml:space="preserve"> </w:t>
      </w:r>
      <w:proofErr w:type="spellStart"/>
      <w:r>
        <w:t>en</w:t>
      </w:r>
      <w:proofErr w:type="spellEnd"/>
      <w:r>
        <w:t xml:space="preserve"> </w:t>
      </w:r>
      <w:proofErr w:type="spellStart"/>
      <w:r>
        <w:t>moyenne</w:t>
      </w:r>
      <w:proofErr w:type="spellEnd"/>
      <w:r>
        <w:t xml:space="preserve"> à 6 300 tm de 2002 à 2004, </w:t>
      </w:r>
      <w:proofErr w:type="spellStart"/>
      <w:r>
        <w:t>puis</w:t>
      </w:r>
      <w:proofErr w:type="spellEnd"/>
      <w:r>
        <w:t xml:space="preserve"> </w:t>
      </w:r>
      <w:proofErr w:type="spellStart"/>
      <w:r>
        <w:t>ont</w:t>
      </w:r>
      <w:proofErr w:type="spellEnd"/>
      <w:r>
        <w:t xml:space="preserve"> </w:t>
      </w:r>
      <w:proofErr w:type="spellStart"/>
      <w:r>
        <w:t>diminué</w:t>
      </w:r>
      <w:proofErr w:type="spellEnd"/>
      <w:r>
        <w:t xml:space="preserve"> </w:t>
      </w:r>
      <w:proofErr w:type="spellStart"/>
      <w:r>
        <w:t>jusqu</w:t>
      </w:r>
      <w:r w:rsidR="00D62505">
        <w:t>’</w:t>
      </w:r>
      <w:r>
        <w:t>à</w:t>
      </w:r>
      <w:proofErr w:type="spellEnd"/>
      <w:r>
        <w:t xml:space="preserve"> 45 tm </w:t>
      </w:r>
      <w:proofErr w:type="spellStart"/>
      <w:r>
        <w:t>en</w:t>
      </w:r>
      <w:proofErr w:type="spellEnd"/>
      <w:r>
        <w:t xml:space="preserve"> 2018 (tableau 1) </w:t>
      </w:r>
      <w:proofErr w:type="spellStart"/>
      <w:r>
        <w:t>en</w:t>
      </w:r>
      <w:proofErr w:type="spellEnd"/>
      <w:r>
        <w:t xml:space="preserve"> raison de </w:t>
      </w:r>
      <w:proofErr w:type="spellStart"/>
      <w:r>
        <w:t>mesures</w:t>
      </w:r>
      <w:proofErr w:type="spellEnd"/>
      <w:r>
        <w:t xml:space="preserve"> de </w:t>
      </w:r>
      <w:proofErr w:type="spellStart"/>
      <w:r>
        <w:t>gestion</w:t>
      </w:r>
      <w:proofErr w:type="spellEnd"/>
      <w:r>
        <w:t xml:space="preserve"> </w:t>
      </w:r>
      <w:proofErr w:type="spellStart"/>
      <w:r>
        <w:t>strictes</w:t>
      </w:r>
      <w:proofErr w:type="spellEnd"/>
      <w:r>
        <w:t xml:space="preserve">. </w:t>
      </w:r>
    </w:p>
    <w:p w14:paraId="13E7F6DC" w14:textId="646C703D" w:rsidR="00673B48" w:rsidRPr="008C3457" w:rsidRDefault="00673B48" w:rsidP="008E5EE1">
      <w:pPr>
        <w:pStyle w:val="BodyText"/>
      </w:pPr>
      <w:r>
        <w:t xml:space="preserve">Les </w:t>
      </w:r>
      <w:r>
        <w:rPr>
          <w:b/>
          <w:bCs/>
        </w:rPr>
        <w:t>prises canadiennes</w:t>
      </w:r>
      <w:r>
        <w:t xml:space="preserve"> de 2018, soit 3 tm, ont été bien inférieures au quota canadien de 87 tm. Les débarquements se sont chiffrés à moins d</w:t>
      </w:r>
      <w:r w:rsidR="00D62505">
        <w:t>’</w:t>
      </w:r>
      <w:r>
        <w:t xml:space="preserve">une tonne métrique et les rejets en provenance de la pêche du pétoncle à la drague ont été estimés à 3 tm. </w:t>
      </w:r>
    </w:p>
    <w:p w14:paraId="2DEA5EB1" w14:textId="55668FA7" w:rsidR="00673B48" w:rsidRPr="008C3457" w:rsidRDefault="00673B48" w:rsidP="008E5EE1">
      <w:pPr>
        <w:pStyle w:val="BodyText"/>
      </w:pPr>
      <w:r>
        <w:t xml:space="preserve">Les </w:t>
      </w:r>
      <w:r>
        <w:rPr>
          <w:b/>
          <w:bCs/>
        </w:rPr>
        <w:t>prises des États-Unis</w:t>
      </w:r>
      <w:r>
        <w:t xml:space="preserve"> pour l</w:t>
      </w:r>
      <w:r w:rsidR="00D62505">
        <w:t>’</w:t>
      </w:r>
      <w:r>
        <w:t>année civile 2018 se sont chiffrées à 42 tm, les débarquements étant de 32 tm et les rejets de 11 tm. Pour l</w:t>
      </w:r>
      <w:r w:rsidR="00D62505">
        <w:t>’</w:t>
      </w:r>
      <w:r>
        <w:t>année civile 2018, les débarquements des États-Unis provenaient surtout de la pêche au chalut, tandis que les rejets étaient dus à la pêche du pétoncle à la drague. Les estimations préliminaires situaient les prises des États-Unis (débarquements et rejets) pour l</w:t>
      </w:r>
      <w:r w:rsidR="00D62505">
        <w:t>’</w:t>
      </w:r>
      <w:r>
        <w:t xml:space="preserve">année de pêche 2018 à 20 % du quota de 213 tm. </w:t>
      </w:r>
    </w:p>
    <w:p w14:paraId="07C79C38" w14:textId="33BF45E4" w:rsidR="00DC56C4" w:rsidRPr="005A142E" w:rsidRDefault="005A142E" w:rsidP="005A142E">
      <w:pPr>
        <w:pStyle w:val="Heading2"/>
        <w:rPr>
          <w:lang w:val="fr-CA"/>
        </w:rPr>
      </w:pPr>
      <w:r w:rsidRPr="005A142E">
        <w:rPr>
          <w:caps w:val="0"/>
          <w:lang w:val="fr-CA"/>
        </w:rPr>
        <w:t>Stratégie de pêche et points de référence</w:t>
      </w:r>
    </w:p>
    <w:p w14:paraId="708FA7AF" w14:textId="56A38D3B" w:rsidR="00DC56C4" w:rsidRPr="008C3457" w:rsidRDefault="00673B48" w:rsidP="0091557B">
      <w:pPr>
        <w:pStyle w:val="BodyText"/>
      </w:pPr>
      <w:r>
        <w:t xml:space="preserve">Le </w:t>
      </w:r>
      <w:proofErr w:type="spellStart"/>
      <w:r>
        <w:t>Comité</w:t>
      </w:r>
      <w:proofErr w:type="spellEnd"/>
      <w:r>
        <w:t xml:space="preserve"> </w:t>
      </w:r>
      <w:proofErr w:type="spellStart"/>
      <w:r>
        <w:t>d</w:t>
      </w:r>
      <w:r w:rsidR="00D62505">
        <w:t>’</w:t>
      </w:r>
      <w:r>
        <w:t>orientation</w:t>
      </w:r>
      <w:proofErr w:type="spellEnd"/>
      <w:r>
        <w:t xml:space="preserve"> de la gestion des stocks transfrontaliers a adopté une stratégie visant à faire en sorte que le risque de dépassement du taux de mortalité par </w:t>
      </w:r>
      <w:proofErr w:type="spellStart"/>
      <w:r>
        <w:t>pêche</w:t>
      </w:r>
      <w:proofErr w:type="spellEnd"/>
      <w:r>
        <w:t xml:space="preserve"> de </w:t>
      </w:r>
      <w:proofErr w:type="spellStart"/>
      <w:r>
        <w:t>référence</w:t>
      </w:r>
      <w:proofErr w:type="spellEnd"/>
      <w:r>
        <w:t xml:space="preserve"> </w:t>
      </w:r>
      <w:proofErr w:type="spellStart"/>
      <w:r>
        <w:t>F</w:t>
      </w:r>
      <w:r>
        <w:rPr>
          <w:vertAlign w:val="subscript"/>
        </w:rPr>
        <w:t>réf</w:t>
      </w:r>
      <w:proofErr w:type="spellEnd"/>
      <w:r>
        <w:t> = 0,25 (</w:t>
      </w:r>
      <w:proofErr w:type="spellStart"/>
      <w:r>
        <w:t>qu</w:t>
      </w:r>
      <w:r w:rsidR="00D62505">
        <w:t>’</w:t>
      </w:r>
      <w:r>
        <w:t>il</w:t>
      </w:r>
      <w:proofErr w:type="spellEnd"/>
      <w:r>
        <w:t xml:space="preserve"> a </w:t>
      </w:r>
      <w:proofErr w:type="spellStart"/>
      <w:r>
        <w:t>établi</w:t>
      </w:r>
      <w:proofErr w:type="spellEnd"/>
      <w:r>
        <w:t xml:space="preserve"> en 2002) demeure faible à neutre. Quand les conditions du stock sont mauvaises, il conviendrait de faciliter son rétablissement en abaissant davantage le taux de </w:t>
      </w:r>
      <w:r>
        <w:lastRenderedPageBreak/>
        <w:t>mortalité par pêche. En l</w:t>
      </w:r>
      <w:r w:rsidR="00D62505">
        <w:t>’</w:t>
      </w:r>
      <w:r>
        <w:t>absence d</w:t>
      </w:r>
      <w:r w:rsidR="00D62505">
        <w:t>’</w:t>
      </w:r>
      <w:r>
        <w:t>un modèle d</w:t>
      </w:r>
      <w:r w:rsidR="00D62505">
        <w:t>’</w:t>
      </w:r>
      <w:r>
        <w:t>évaluation, il n</w:t>
      </w:r>
      <w:r w:rsidR="00D62505">
        <w:t>’</w:t>
      </w:r>
      <w:r>
        <w:t xml:space="preserve">est plus possible de calculer une estimation du taux de mortalité par pêche. </w:t>
      </w:r>
      <w:r w:rsidR="00074E7B">
        <w:t xml:space="preserve">Comme les points de référence n’ont pas été définis, il n’est pas possible de déterminer </w:t>
      </w:r>
      <w:r>
        <w:t>l</w:t>
      </w:r>
      <w:r w:rsidR="00D62505">
        <w:t>’</w:t>
      </w:r>
      <w:r>
        <w:t xml:space="preserve">état </w:t>
      </w:r>
      <w:r w:rsidR="00074E7B">
        <w:t>comparativement à ces derniers</w:t>
      </w:r>
      <w:r>
        <w:t xml:space="preserve">. </w:t>
      </w:r>
    </w:p>
    <w:p w14:paraId="5082D43B" w14:textId="61D95AA7" w:rsidR="00DC56C4" w:rsidRPr="008C3457" w:rsidRDefault="005A142E" w:rsidP="005A142E">
      <w:pPr>
        <w:pStyle w:val="Heading2"/>
      </w:pPr>
      <w:proofErr w:type="spellStart"/>
      <w:r>
        <w:rPr>
          <w:caps w:val="0"/>
        </w:rPr>
        <w:t>État</w:t>
      </w:r>
      <w:proofErr w:type="spellEnd"/>
      <w:r>
        <w:rPr>
          <w:caps w:val="0"/>
        </w:rPr>
        <w:t xml:space="preserve"> de la </w:t>
      </w:r>
      <w:proofErr w:type="spellStart"/>
      <w:r>
        <w:rPr>
          <w:caps w:val="0"/>
        </w:rPr>
        <w:t>ressource</w:t>
      </w:r>
      <w:proofErr w:type="spellEnd"/>
    </w:p>
    <w:p w14:paraId="26DC492D" w14:textId="54EB9B76" w:rsidR="00065CCB" w:rsidRPr="008C3457" w:rsidRDefault="00C60DF6">
      <w:pPr>
        <w:pStyle w:val="BodyText"/>
        <w:spacing w:after="0"/>
      </w:pPr>
      <w:r>
        <w:t>La tendance à la baisse dans la biomasse d</w:t>
      </w:r>
      <w:r w:rsidR="00D62505">
        <w:t>’</w:t>
      </w:r>
      <w:r>
        <w:t>après les relevés vers de faibles niveaux, et ce, malgré les réductions des prises à de faibles quantités historiques, indique que la ressource est en mauvais état. Les prises récentes sont faibles par rapport à l</w:t>
      </w:r>
      <w:r w:rsidR="00D62505">
        <w:t>’</w:t>
      </w:r>
      <w:r>
        <w:t>estimation de la biomasse d</w:t>
      </w:r>
      <w:r w:rsidR="00D62505">
        <w:t>’</w:t>
      </w:r>
      <w:r>
        <w:t>après les relevés (mortalité relative F; figure 2), mais les analyses de la courbe des prises (méthode Sinclair Z) indiquent des taux de mortalité totale en déclin, mais élevés (Z &gt; 1 pour la plupart des années; figure 3). Toutefois, les faibles prises du relevé au cours des dernières années rendent difficile l</w:t>
      </w:r>
      <w:r w:rsidR="00D62505">
        <w:t>’</w:t>
      </w:r>
      <w:r>
        <w:t>interprétation du taux de mortalité relative F actuel et du taux de mortalité totale Z du relevé. La pêche ne semble pas être un facteur important de l</w:t>
      </w:r>
      <w:r w:rsidR="00D62505">
        <w:t>’</w:t>
      </w:r>
      <w:r>
        <w:t xml:space="preserve">état actuel du stock, bien que de grandes quantités de prises manquantes </w:t>
      </w:r>
      <w:r w:rsidR="00545C48">
        <w:t>puissent</w:t>
      </w:r>
      <w:r>
        <w:t xml:space="preserve"> changer cette interprétation et que les nombreux signaux négatifs concernant ce stock exigent des prises faibles continues </w:t>
      </w:r>
      <w:r w:rsidR="009B2F68">
        <w:t>afin de protéger ce qu’il en</w:t>
      </w:r>
      <w:r>
        <w:t xml:space="preserve"> reste. </w:t>
      </w:r>
    </w:p>
    <w:p w14:paraId="739FC2FF" w14:textId="61B5C776" w:rsidR="00673B48" w:rsidRPr="008C3457" w:rsidRDefault="005A142E" w:rsidP="005A142E">
      <w:pPr>
        <w:pStyle w:val="Heading2"/>
      </w:pPr>
      <w:proofErr w:type="spellStart"/>
      <w:r>
        <w:rPr>
          <w:caps w:val="0"/>
        </w:rPr>
        <w:t>Productivité</w:t>
      </w:r>
      <w:proofErr w:type="spellEnd"/>
    </w:p>
    <w:p w14:paraId="0F7AB999" w14:textId="3713867C" w:rsidR="00DC56C4" w:rsidRPr="008C3457" w:rsidRDefault="00855BFC">
      <w:pPr>
        <w:pStyle w:val="BodyText"/>
        <w:keepNext/>
        <w:spacing w:after="0"/>
      </w:pPr>
      <w:r>
        <w:t xml:space="preserve">Le recrutement, la répartition spatiale et la croissance du poisson reflètent généralement des changements dans le potentiel de production. De manière générale, le </w:t>
      </w:r>
      <w:r>
        <w:rPr>
          <w:b/>
          <w:bCs/>
        </w:rPr>
        <w:t>recrutement</w:t>
      </w:r>
      <w:r>
        <w:t xml:space="preserve"> récent a été inférieur à la moyenne (figure 4) et la structure d</w:t>
      </w:r>
      <w:r w:rsidR="00D62505">
        <w:t>’</w:t>
      </w:r>
      <w:r>
        <w:t>âge est tronquée (c.-à-d., moins de jeunes poissons et moins de poissons âgés). Les tendances</w:t>
      </w:r>
      <w:r>
        <w:rPr>
          <w:b/>
        </w:rPr>
        <w:t xml:space="preserve"> récentes </w:t>
      </w:r>
      <w:r>
        <w:rPr>
          <w:b/>
          <w:bCs/>
        </w:rPr>
        <w:t>de la répartition spatiale</w:t>
      </w:r>
      <w:r>
        <w:t xml:space="preserve"> des trois relevés au chalut de fond suivent généralement la moyenne sur dix ans, bien que les faibles prises des relevés rendent ces comparaisons difficiles. La </w:t>
      </w:r>
      <w:r>
        <w:rPr>
          <w:b/>
          <w:bCs/>
        </w:rPr>
        <w:t>croissance</w:t>
      </w:r>
      <w:r w:rsidRPr="00545C48">
        <w:rPr>
          <w:bCs/>
        </w:rPr>
        <w:t>,</w:t>
      </w:r>
      <w:r>
        <w:t xml:space="preserve"> mesurée par la longueur </w:t>
      </w:r>
      <w:r w:rsidR="00545C48">
        <w:t>en fonction de</w:t>
      </w:r>
      <w:r>
        <w:t xml:space="preserve"> l</w:t>
      </w:r>
      <w:r w:rsidR="00D62505">
        <w:t>’</w:t>
      </w:r>
      <w:r>
        <w:t>âge lors des relevés, était variable, sans tendance précise, et les conditions (poids par rapport à la taille) étaient récemment faibles, bien que les faibles prises des relevés rendent difficile l</w:t>
      </w:r>
      <w:r w:rsidR="00D62505">
        <w:t>’</w:t>
      </w:r>
      <w:r>
        <w:t>interprétation de ces tendances. La biomasse du stock et la productivité sont faibles.</w:t>
      </w:r>
    </w:p>
    <w:p w14:paraId="0994B219" w14:textId="0A6F5546" w:rsidR="00DC56C4" w:rsidRPr="008C3457" w:rsidRDefault="005A142E" w:rsidP="005A142E">
      <w:pPr>
        <w:pStyle w:val="Heading2"/>
      </w:pPr>
      <w:r>
        <w:rPr>
          <w:caps w:val="0"/>
        </w:rPr>
        <w:t xml:space="preserve">Perspectives et </w:t>
      </w:r>
      <w:proofErr w:type="spellStart"/>
      <w:r>
        <w:rPr>
          <w:caps w:val="0"/>
        </w:rPr>
        <w:t>avis</w:t>
      </w:r>
      <w:proofErr w:type="spellEnd"/>
      <w:r>
        <w:rPr>
          <w:caps w:val="0"/>
        </w:rPr>
        <w:t xml:space="preserve"> du CERT</w:t>
      </w:r>
    </w:p>
    <w:p w14:paraId="3E2250DD" w14:textId="44E20220" w:rsidR="00184A4A" w:rsidRPr="008C3457" w:rsidRDefault="00673B48" w:rsidP="005A142E">
      <w:pPr>
        <w:pStyle w:val="BodyText"/>
      </w:pPr>
      <w:r>
        <w:t>Les perspectives sont présentées sous l</w:t>
      </w:r>
      <w:r w:rsidR="00D62505">
        <w:t>’</w:t>
      </w:r>
      <w:r>
        <w:t>angle d</w:t>
      </w:r>
      <w:r w:rsidR="00D62505">
        <w:t>’</w:t>
      </w:r>
      <w:r>
        <w:t>une approche empirique mise au point dans le cadre de l</w:t>
      </w:r>
      <w:r w:rsidR="00D62505">
        <w:t>’</w:t>
      </w:r>
      <w:r>
        <w:t>analyse comparative des diagnostics et de l</w:t>
      </w:r>
      <w:r w:rsidR="00D62505">
        <w:t>’</w:t>
      </w:r>
      <w:r>
        <w:t>approche empirique pour la limande à queue jaune du banc de Georges de 2014, dans le cadre de la réunion ultérieure du CERT en 2014 et de la téléconférence intersession du CERT en juin 2017. L</w:t>
      </w:r>
      <w:r w:rsidR="00D62505">
        <w:t>’</w:t>
      </w:r>
      <w:r>
        <w:t>approche empirique fait la moyenne des estimations de la biomasse d</w:t>
      </w:r>
      <w:r w:rsidR="00D62505">
        <w:t>’</w:t>
      </w:r>
      <w:r>
        <w:t>après le relevé du MPO et les relevés du printemps et d</w:t>
      </w:r>
      <w:r w:rsidR="00D62505">
        <w:t>’</w:t>
      </w:r>
      <w:r>
        <w:t>automne du National Marine Fisheries Service (NMFS) [figure 5] et elle applique un taux d</w:t>
      </w:r>
      <w:r w:rsidR="00D62505">
        <w:t>’</w:t>
      </w:r>
      <w:r>
        <w:t xml:space="preserve">exploitation à cette moyenne afin de générer des recommandations de prises. </w:t>
      </w:r>
    </w:p>
    <w:p w14:paraId="39225268" w14:textId="593A54AD" w:rsidR="001A6FCD" w:rsidRPr="008C3457" w:rsidRDefault="001A6FCD" w:rsidP="005A142E">
      <w:pPr>
        <w:pStyle w:val="BodyText"/>
      </w:pPr>
      <w:r>
        <w:t>Au cours de l</w:t>
      </w:r>
      <w:r w:rsidR="00D62505">
        <w:t>’</w:t>
      </w:r>
      <w:r>
        <w:t xml:space="preserve">étude de référence de 2014, </w:t>
      </w:r>
      <w:r w:rsidR="00330881">
        <w:t>diverses</w:t>
      </w:r>
      <w:r>
        <w:t xml:space="preserve"> considérations ont été </w:t>
      </w:r>
      <w:r w:rsidR="00330881">
        <w:t>citées</w:t>
      </w:r>
      <w:r>
        <w:t xml:space="preserve"> pour justifier la diminution, le maintien ou l</w:t>
      </w:r>
      <w:r w:rsidR="00D62505">
        <w:t>’</w:t>
      </w:r>
      <w:r>
        <w:t>augmentation du quota. Les résultats de l</w:t>
      </w:r>
      <w:r w:rsidR="00D62505">
        <w:t>’</w:t>
      </w:r>
      <w:r>
        <w:t xml:space="preserve">évaluation de cette année justifient </w:t>
      </w:r>
      <w:r w:rsidR="00330881">
        <w:t>la diminution du</w:t>
      </w:r>
      <w:r>
        <w:t xml:space="preserve"> quota </w:t>
      </w:r>
      <w:r w:rsidR="00330881">
        <w:t>ainsi que le maintien ou l’augmentation</w:t>
      </w:r>
      <w:r>
        <w:t xml:space="preserve"> </w:t>
      </w:r>
      <w:r w:rsidR="00330881">
        <w:t xml:space="preserve">de ce dernier </w:t>
      </w:r>
      <w:r>
        <w:t>en 2020. Les prises de l</w:t>
      </w:r>
      <w:r w:rsidR="00D62505">
        <w:t>’</w:t>
      </w:r>
      <w:r>
        <w:t>an dernier représentaient 15 % du quota, le taux de mortalité relative F continue d</w:t>
      </w:r>
      <w:r w:rsidR="00D62505">
        <w:t>’</w:t>
      </w:r>
      <w:r>
        <w:t>être faible, deux relevés ont augmenté et la mortalité totale du relevé a diminué à de faibles valeurs dans deux des relevés, ce qui appuie le maintien ou l</w:t>
      </w:r>
      <w:r w:rsidR="00D62505">
        <w:t>’</w:t>
      </w:r>
      <w:r>
        <w:t>augmentation du quota. L</w:t>
      </w:r>
      <w:r w:rsidR="00D62505">
        <w:t>’</w:t>
      </w:r>
      <w:r>
        <w:t xml:space="preserve">an dernier, un relevé a diminué pour atteindre la valeur la plus basse de la série chronologique, les trois estimations de la biomasse du relevé demeurent faibles </w:t>
      </w:r>
      <w:r w:rsidR="00FB6055">
        <w:t>comparativement</w:t>
      </w:r>
      <w:r>
        <w:t xml:space="preserve"> à leur moyenne, et le recrutement récent continue d</w:t>
      </w:r>
      <w:r w:rsidR="00D62505">
        <w:t>’</w:t>
      </w:r>
      <w:r>
        <w:t>être inférieur à la moyenne, ce qui appuie la diminution du quota.</w:t>
      </w:r>
    </w:p>
    <w:p w14:paraId="0C8F2486" w14:textId="18BB21B9" w:rsidR="001A6FCD" w:rsidRPr="008C3457" w:rsidRDefault="001A6FCD" w:rsidP="005A142E">
      <w:pPr>
        <w:pStyle w:val="BodyText"/>
      </w:pPr>
      <w:r>
        <w:t>Le rapport du CERT de 2017 a indiqué que le changement de la fourchette des taux d</w:t>
      </w:r>
      <w:r w:rsidR="00D62505">
        <w:t>’</w:t>
      </w:r>
      <w:r>
        <w:t>exploitation de 2 % à 16 % à 2 % à 6 % s</w:t>
      </w:r>
      <w:r w:rsidR="00D62505">
        <w:t>’</w:t>
      </w:r>
      <w:r>
        <w:t>expliquait par le changement de l</w:t>
      </w:r>
      <w:r w:rsidR="00D62505">
        <w:t>’</w:t>
      </w:r>
      <w:r>
        <w:t xml:space="preserve">ouverture des </w:t>
      </w:r>
      <w:r>
        <w:lastRenderedPageBreak/>
        <w:t>panneaux à l</w:t>
      </w:r>
      <w:r w:rsidR="00D62505">
        <w:t>’</w:t>
      </w:r>
      <w:r>
        <w:t xml:space="preserve">ouverture des </w:t>
      </w:r>
      <w:proofErr w:type="spellStart"/>
      <w:r>
        <w:t>ailes</w:t>
      </w:r>
      <w:proofErr w:type="spellEnd"/>
      <w:r>
        <w:t xml:space="preserve">, </w:t>
      </w:r>
      <w:r w:rsidR="00FB6055">
        <w:t>par</w:t>
      </w:r>
      <w:r>
        <w:t xml:space="preserve"> la </w:t>
      </w:r>
      <w:proofErr w:type="spellStart"/>
      <w:r>
        <w:t>capturabilité</w:t>
      </w:r>
      <w:proofErr w:type="spellEnd"/>
      <w:r>
        <w:t xml:space="preserve"> </w:t>
      </w:r>
      <w:r w:rsidR="00FB6055">
        <w:t xml:space="preserve">passant </w:t>
      </w:r>
      <w:r>
        <w:t>de 0,37 à 0,31 et par le déclin des relevés pendant les séries chronologiques disponibles. Aucun changement n</w:t>
      </w:r>
      <w:r w:rsidR="00D62505">
        <w:t>’</w:t>
      </w:r>
      <w:r>
        <w:t>a été apporté à l</w:t>
      </w:r>
      <w:r w:rsidR="00D62505">
        <w:t>’</w:t>
      </w:r>
      <w:r>
        <w:t>approche empirique cette année par rapport à l</w:t>
      </w:r>
      <w:r w:rsidR="00D62505">
        <w:t>’</w:t>
      </w:r>
      <w:r>
        <w:t>an dernier, si ce n</w:t>
      </w:r>
      <w:r w:rsidR="00D62505">
        <w:t>’</w:t>
      </w:r>
      <w:r>
        <w:t>est l</w:t>
      </w:r>
      <w:r w:rsidR="00D62505">
        <w:t>’</w:t>
      </w:r>
      <w:r>
        <w:t>ajout des trois nouvelles valeurs de relevé. Ainsi, l</w:t>
      </w:r>
      <w:r w:rsidR="00D62505">
        <w:t>’</w:t>
      </w:r>
      <w:r>
        <w:t>absence de tout changement dans l</w:t>
      </w:r>
      <w:r w:rsidR="00D62505">
        <w:t>’</w:t>
      </w:r>
      <w:r>
        <w:t>approche empirique n</w:t>
      </w:r>
      <w:r w:rsidR="00D62505">
        <w:t>’</w:t>
      </w:r>
      <w:r>
        <w:t>entraîne aucun changement dans le taux d</w:t>
      </w:r>
      <w:r w:rsidR="00D62505">
        <w:t>’</w:t>
      </w:r>
      <w:r>
        <w:t>exploitation cette année.</w:t>
      </w:r>
    </w:p>
    <w:p w14:paraId="3DB70AAF" w14:textId="134A828F" w:rsidR="00931489" w:rsidRPr="008C3457" w:rsidRDefault="00E63C08" w:rsidP="005A142E">
      <w:pPr>
        <w:pStyle w:val="BodyText"/>
      </w:pPr>
      <w:r>
        <w:t xml:space="preserve">Le CERT recommande une limite supérieure </w:t>
      </w:r>
      <w:r w:rsidR="00FB6055">
        <w:t xml:space="preserve">de 6 % </w:t>
      </w:r>
      <w:r>
        <w:t>pour le taux d</w:t>
      </w:r>
      <w:r w:rsidR="00D62505">
        <w:t>’</w:t>
      </w:r>
      <w:r>
        <w:t xml:space="preserve">exploitation </w:t>
      </w:r>
      <w:r w:rsidR="00FB6055">
        <w:t>en ce qui concerne</w:t>
      </w:r>
      <w:r>
        <w:t xml:space="preserve"> les recommandations </w:t>
      </w:r>
      <w:r w:rsidR="00FB6055">
        <w:t xml:space="preserve">relatives aux </w:t>
      </w:r>
      <w:r>
        <w:t>prises, ce qui donne 199 tm pour 2020. La biomasse du relevé a diminué de 95 % de 2010 à 2019 (tableau 2). Les taux d</w:t>
      </w:r>
      <w:r w:rsidR="00D62505">
        <w:t>’</w:t>
      </w:r>
      <w:r>
        <w:t xml:space="preserve">exploitation historiques peuvent être calculés à partir du quota ou des prises. </w:t>
      </w:r>
    </w:p>
    <w:p w14:paraId="237EF04A" w14:textId="461B4B68" w:rsidR="002620AC" w:rsidRPr="008C3457" w:rsidRDefault="00FC2A76" w:rsidP="005A142E">
      <w:pPr>
        <w:pStyle w:val="BodyText"/>
      </w:pPr>
      <w:r>
        <w:t>Le CERT a utilisé le taux d</w:t>
      </w:r>
      <w:r w:rsidR="00D62505">
        <w:t>’</w:t>
      </w:r>
      <w:r>
        <w:t>exploitation associé au quota pour établir l</w:t>
      </w:r>
      <w:r w:rsidR="00D62505">
        <w:t>’</w:t>
      </w:r>
      <w:r>
        <w:t>avis de prise</w:t>
      </w:r>
      <w:r w:rsidR="00FB6055">
        <w:t xml:space="preserve">, car il </w:t>
      </w:r>
      <w:r>
        <w:t>a limité la prise directement et indirectement. Le taux d</w:t>
      </w:r>
      <w:r w:rsidR="00D62505">
        <w:t>’</w:t>
      </w:r>
      <w:r>
        <w:t>exploitation moyen associé au quota pour les années 2010 à 2017 est de 6 % et varie de 3 % à 11 % (tableau 3). Le CERT indique qu</w:t>
      </w:r>
      <w:r w:rsidR="00D62505">
        <w:t>’</w:t>
      </w:r>
      <w:r>
        <w:t>il est risqué de relever le taux d</w:t>
      </w:r>
      <w:r w:rsidR="00D62505">
        <w:t>’</w:t>
      </w:r>
      <w:r>
        <w:t>exploitation au-dessus de la moyenne de 2010 à 2017 lorsque le stock a considérablement diminué, et que cela réduit les chances de rétablissement. L</w:t>
      </w:r>
      <w:r w:rsidR="00D62505">
        <w:t>’</w:t>
      </w:r>
      <w:r>
        <w:t>inclusion des quotas 2018 et 2019 porte le taux d</w:t>
      </w:r>
      <w:r w:rsidR="00D62505">
        <w:t>’</w:t>
      </w:r>
      <w:r>
        <w:t>exploitation moyen à 8 %, mais les deux quotas ont été fixés à un niveau supérieur au taux d</w:t>
      </w:r>
      <w:r w:rsidR="00D62505">
        <w:t>’</w:t>
      </w:r>
      <w:r>
        <w:t>exploitation de 6 % recommandé par le CERT</w:t>
      </w:r>
      <w:r w:rsidR="00FD194D">
        <w:t xml:space="preserve">. </w:t>
      </w:r>
      <w:r>
        <w:t>Le taux d</w:t>
      </w:r>
      <w:r w:rsidR="00D62505">
        <w:t>’</w:t>
      </w:r>
      <w:r>
        <w:t>exploitation moyen associé aux prises pour les années 2010 à 2018 est de 3 % et varie de 1 % à 5 %. De 2010 à 2018, les prises ont représenté en moyenne 38 % du quota, allant de 12 % à 63 %. Le CERT reconnaît que les prises ont été bien en deçà du quota récemment</w:t>
      </w:r>
      <w:r w:rsidR="00FB6055">
        <w:t>,</w:t>
      </w:r>
      <w:r>
        <w:t xml:space="preserve"> et il est attendu que </w:t>
      </w:r>
      <w:r w:rsidR="00FB6055">
        <w:t>cette tendance se maintienne</w:t>
      </w:r>
      <w:r>
        <w:t>. Si l</w:t>
      </w:r>
      <w:r w:rsidR="00D62505">
        <w:t>’</w:t>
      </w:r>
      <w:r>
        <w:t>utilisation des quotas augmente,</w:t>
      </w:r>
      <w:r w:rsidR="00933C4F">
        <w:t xml:space="preserve"> il pourrait être nécessaire de revoir</w:t>
      </w:r>
      <w:r>
        <w:t xml:space="preserve"> le taux d</w:t>
      </w:r>
      <w:r w:rsidR="00D62505">
        <w:t>’</w:t>
      </w:r>
      <w:r>
        <w:t>exploitation utilisé pour fournir des conseils sur les prises. Le CERT recommande un faible taux d</w:t>
      </w:r>
      <w:r w:rsidR="00D62505">
        <w:t>’</w:t>
      </w:r>
      <w:r>
        <w:t>exploitation afin de permettre un possible rétablissement.</w:t>
      </w:r>
    </w:p>
    <w:p w14:paraId="795F0A2F" w14:textId="36B4F8E3" w:rsidR="008E5EE1" w:rsidRDefault="00453E2E" w:rsidP="005A142E">
      <w:pPr>
        <w:pStyle w:val="BodyText"/>
      </w:pPr>
      <w:r>
        <w:t>Le quota de 140 tm pour 2019 a été fixé au-dessus de la valeur recommandée par le CERT (68 tm). Malgré la possibilité que d</w:t>
      </w:r>
      <w:r w:rsidR="00D62505">
        <w:t>’</w:t>
      </w:r>
      <w:r>
        <w:t>autres facteurs influencent les tendances de la population, tels que les facteurs environnementaux ou les prises manquantes, le CERT recommande de fixer le taux d</w:t>
      </w:r>
      <w:r w:rsidR="00D62505">
        <w:t>’</w:t>
      </w:r>
      <w:r>
        <w:t>exploitation aussi bas que possible en dessous de la limite supérieure de 6 %.</w:t>
      </w:r>
    </w:p>
    <w:p w14:paraId="57BCEB4A" w14:textId="77777777" w:rsidR="008E5EE1" w:rsidRDefault="008E5EE1">
      <w:r>
        <w:br w:type="page"/>
      </w:r>
    </w:p>
    <w:p w14:paraId="188886FC" w14:textId="302DD3C5" w:rsidR="00340064" w:rsidRPr="008C3457" w:rsidRDefault="00390548" w:rsidP="005A142E">
      <w:pPr>
        <w:pStyle w:val="Caption-Table"/>
      </w:pPr>
      <w:r>
        <w:lastRenderedPageBreak/>
        <w:t>Tableau 2. Biomasses dans les trois relevés au chalut de fond, moyenne arithmétique de ces biomasses, et recommandations de prises pour un taux d</w:t>
      </w:r>
      <w:r w:rsidR="00D62505">
        <w:t>’</w:t>
      </w:r>
      <w:r>
        <w:t>exploitation de 6 %. Les recommandations de prises sont appliquées l</w:t>
      </w:r>
      <w:r w:rsidR="00D62505">
        <w:t>’</w:t>
      </w:r>
      <w:r>
        <w:t>année suivante (par exemple, la rangée 2019 des recommandations de prises serait mise en œuvre en 2020).</w:t>
      </w:r>
    </w:p>
    <w:tbl>
      <w:tblPr>
        <w:tblW w:w="8835" w:type="dxa"/>
        <w:tblInd w:w="93" w:type="dxa"/>
        <w:tblLook w:val="04A0" w:firstRow="1" w:lastRow="0" w:firstColumn="1" w:lastColumn="0" w:noHBand="0" w:noVBand="1"/>
      </w:tblPr>
      <w:tblGrid>
        <w:gridCol w:w="960"/>
        <w:gridCol w:w="500"/>
        <w:gridCol w:w="1005"/>
        <w:gridCol w:w="1207"/>
        <w:gridCol w:w="1460"/>
        <w:gridCol w:w="272"/>
        <w:gridCol w:w="1326"/>
        <w:gridCol w:w="740"/>
        <w:gridCol w:w="1530"/>
      </w:tblGrid>
      <w:tr w:rsidR="003A4238" w:rsidRPr="008C3457" w14:paraId="44DE529F" w14:textId="77777777" w:rsidTr="002620AC">
        <w:trPr>
          <w:trHeight w:val="255"/>
        </w:trPr>
        <w:tc>
          <w:tcPr>
            <w:tcW w:w="960" w:type="dxa"/>
            <w:tcBorders>
              <w:top w:val="single" w:sz="4" w:space="0" w:color="auto"/>
              <w:left w:val="nil"/>
              <w:bottom w:val="nil"/>
              <w:right w:val="nil"/>
            </w:tcBorders>
            <w:shd w:val="clear" w:color="auto" w:fill="auto"/>
            <w:noWrap/>
            <w:vAlign w:val="bottom"/>
            <w:hideMark/>
          </w:tcPr>
          <w:p w14:paraId="5332940F" w14:textId="77777777" w:rsidR="003A4238" w:rsidRPr="008C3457" w:rsidRDefault="003A4238">
            <w:pPr>
              <w:jc w:val="center"/>
              <w:rPr>
                <w:color w:val="000000"/>
                <w:szCs w:val="22"/>
              </w:rPr>
            </w:pPr>
          </w:p>
        </w:tc>
        <w:tc>
          <w:tcPr>
            <w:tcW w:w="500" w:type="dxa"/>
            <w:tcBorders>
              <w:top w:val="single" w:sz="4" w:space="0" w:color="auto"/>
              <w:left w:val="nil"/>
              <w:bottom w:val="nil"/>
              <w:right w:val="nil"/>
            </w:tcBorders>
            <w:shd w:val="clear" w:color="auto" w:fill="auto"/>
            <w:noWrap/>
            <w:vAlign w:val="bottom"/>
            <w:hideMark/>
          </w:tcPr>
          <w:p w14:paraId="5666EED2" w14:textId="77777777" w:rsidR="003A4238" w:rsidRPr="008C3457" w:rsidRDefault="003A4238">
            <w:pPr>
              <w:rPr>
                <w:color w:val="000000"/>
                <w:szCs w:val="22"/>
              </w:rPr>
            </w:pPr>
          </w:p>
        </w:tc>
        <w:tc>
          <w:tcPr>
            <w:tcW w:w="5105" w:type="dxa"/>
            <w:gridSpan w:val="5"/>
            <w:tcBorders>
              <w:top w:val="single" w:sz="4" w:space="0" w:color="auto"/>
              <w:left w:val="nil"/>
              <w:bottom w:val="single" w:sz="4" w:space="0" w:color="auto"/>
              <w:right w:val="nil"/>
            </w:tcBorders>
            <w:shd w:val="clear" w:color="auto" w:fill="auto"/>
            <w:noWrap/>
            <w:vAlign w:val="bottom"/>
            <w:hideMark/>
          </w:tcPr>
          <w:p w14:paraId="45E4D34B" w14:textId="3B71C048" w:rsidR="003A4238" w:rsidRPr="008C3457" w:rsidRDefault="003A4238">
            <w:pPr>
              <w:jc w:val="center"/>
              <w:rPr>
                <w:color w:val="000000"/>
                <w:szCs w:val="22"/>
              </w:rPr>
            </w:pPr>
            <w:r>
              <w:rPr>
                <w:color w:val="000000"/>
                <w:szCs w:val="22"/>
              </w:rPr>
              <w:t>Biomasse (tm)</w:t>
            </w:r>
          </w:p>
        </w:tc>
        <w:tc>
          <w:tcPr>
            <w:tcW w:w="740" w:type="dxa"/>
            <w:tcBorders>
              <w:top w:val="single" w:sz="4" w:space="0" w:color="auto"/>
              <w:left w:val="nil"/>
              <w:right w:val="nil"/>
            </w:tcBorders>
            <w:shd w:val="clear" w:color="auto" w:fill="auto"/>
            <w:noWrap/>
            <w:vAlign w:val="bottom"/>
          </w:tcPr>
          <w:p w14:paraId="768AB863" w14:textId="46B5C010" w:rsidR="003A4238" w:rsidRPr="008C3457" w:rsidRDefault="003A4238">
            <w:pPr>
              <w:rPr>
                <w:color w:val="000000"/>
                <w:szCs w:val="22"/>
              </w:rPr>
            </w:pPr>
          </w:p>
        </w:tc>
        <w:tc>
          <w:tcPr>
            <w:tcW w:w="1530" w:type="dxa"/>
            <w:tcBorders>
              <w:top w:val="single" w:sz="4" w:space="0" w:color="auto"/>
              <w:left w:val="nil"/>
              <w:right w:val="nil"/>
            </w:tcBorders>
            <w:shd w:val="clear" w:color="auto" w:fill="auto"/>
            <w:noWrap/>
            <w:vAlign w:val="bottom"/>
          </w:tcPr>
          <w:p w14:paraId="5A9C9A75" w14:textId="41D6B4C6" w:rsidR="003A4238" w:rsidRPr="008C3457" w:rsidRDefault="003A4238">
            <w:pPr>
              <w:jc w:val="center"/>
              <w:rPr>
                <w:color w:val="000000"/>
                <w:szCs w:val="22"/>
              </w:rPr>
            </w:pPr>
          </w:p>
        </w:tc>
      </w:tr>
      <w:tr w:rsidR="003A4238" w:rsidRPr="008C3457" w14:paraId="0ACCD5AF" w14:textId="77777777" w:rsidTr="002620AC">
        <w:trPr>
          <w:trHeight w:val="255"/>
        </w:trPr>
        <w:tc>
          <w:tcPr>
            <w:tcW w:w="960" w:type="dxa"/>
            <w:tcBorders>
              <w:top w:val="nil"/>
              <w:left w:val="nil"/>
              <w:bottom w:val="single" w:sz="4" w:space="0" w:color="auto"/>
              <w:right w:val="nil"/>
            </w:tcBorders>
            <w:shd w:val="clear" w:color="auto" w:fill="auto"/>
            <w:noWrap/>
            <w:vAlign w:val="bottom"/>
            <w:hideMark/>
          </w:tcPr>
          <w:p w14:paraId="2014689E" w14:textId="77777777" w:rsidR="003A4238" w:rsidRPr="008C3457" w:rsidRDefault="003A4238">
            <w:pPr>
              <w:jc w:val="center"/>
              <w:rPr>
                <w:color w:val="000000"/>
                <w:szCs w:val="22"/>
              </w:rPr>
            </w:pPr>
            <w:r>
              <w:rPr>
                <w:color w:val="000000"/>
                <w:szCs w:val="22"/>
              </w:rPr>
              <w:t>Année</w:t>
            </w:r>
          </w:p>
        </w:tc>
        <w:tc>
          <w:tcPr>
            <w:tcW w:w="500" w:type="dxa"/>
            <w:tcBorders>
              <w:top w:val="nil"/>
              <w:left w:val="nil"/>
              <w:bottom w:val="single" w:sz="4" w:space="0" w:color="auto"/>
              <w:right w:val="nil"/>
            </w:tcBorders>
            <w:shd w:val="clear" w:color="auto" w:fill="auto"/>
            <w:noWrap/>
            <w:vAlign w:val="bottom"/>
            <w:hideMark/>
          </w:tcPr>
          <w:p w14:paraId="49FE3A7B" w14:textId="1974070F" w:rsidR="003A4238" w:rsidRPr="008C3457" w:rsidRDefault="008C3457">
            <w:pPr>
              <w:rPr>
                <w:color w:val="000000"/>
                <w:szCs w:val="22"/>
              </w:rPr>
            </w:pPr>
            <w:r>
              <w:rPr>
                <w:color w:val="000000"/>
                <w:szCs w:val="22"/>
              </w:rPr>
              <w:t xml:space="preserve"> </w:t>
            </w:r>
          </w:p>
        </w:tc>
        <w:tc>
          <w:tcPr>
            <w:tcW w:w="1005" w:type="dxa"/>
            <w:tcBorders>
              <w:top w:val="nil"/>
              <w:left w:val="nil"/>
              <w:bottom w:val="single" w:sz="4" w:space="0" w:color="auto"/>
              <w:right w:val="nil"/>
            </w:tcBorders>
            <w:shd w:val="clear" w:color="auto" w:fill="auto"/>
            <w:noWrap/>
            <w:vAlign w:val="bottom"/>
            <w:hideMark/>
          </w:tcPr>
          <w:p w14:paraId="39166CA8" w14:textId="77777777" w:rsidR="003A4238" w:rsidRPr="008C3457" w:rsidRDefault="003A4238">
            <w:pPr>
              <w:jc w:val="right"/>
              <w:rPr>
                <w:color w:val="000000"/>
                <w:szCs w:val="22"/>
              </w:rPr>
            </w:pPr>
            <w:r>
              <w:rPr>
                <w:color w:val="000000"/>
                <w:szCs w:val="22"/>
              </w:rPr>
              <w:t>MPO</w:t>
            </w:r>
          </w:p>
        </w:tc>
        <w:tc>
          <w:tcPr>
            <w:tcW w:w="1042" w:type="dxa"/>
            <w:tcBorders>
              <w:top w:val="nil"/>
              <w:left w:val="nil"/>
              <w:bottom w:val="single" w:sz="4" w:space="0" w:color="auto"/>
              <w:right w:val="nil"/>
            </w:tcBorders>
            <w:shd w:val="clear" w:color="auto" w:fill="auto"/>
            <w:noWrap/>
            <w:vAlign w:val="bottom"/>
            <w:hideMark/>
          </w:tcPr>
          <w:p w14:paraId="2C53390E" w14:textId="77777777" w:rsidR="003A4238" w:rsidRPr="008C3457" w:rsidRDefault="003A4238">
            <w:pPr>
              <w:jc w:val="right"/>
              <w:rPr>
                <w:color w:val="000000"/>
                <w:szCs w:val="22"/>
              </w:rPr>
            </w:pPr>
            <w:r>
              <w:rPr>
                <w:color w:val="000000"/>
                <w:szCs w:val="22"/>
              </w:rPr>
              <w:t>Printemps</w:t>
            </w:r>
          </w:p>
        </w:tc>
        <w:tc>
          <w:tcPr>
            <w:tcW w:w="1460" w:type="dxa"/>
            <w:tcBorders>
              <w:top w:val="nil"/>
              <w:left w:val="nil"/>
              <w:bottom w:val="single" w:sz="4" w:space="0" w:color="auto"/>
              <w:right w:val="nil"/>
            </w:tcBorders>
            <w:shd w:val="clear" w:color="auto" w:fill="auto"/>
            <w:vAlign w:val="bottom"/>
            <w:hideMark/>
          </w:tcPr>
          <w:p w14:paraId="0FC0A7A1" w14:textId="77777777" w:rsidR="003A4238" w:rsidRPr="008C3457" w:rsidRDefault="003A4238">
            <w:pPr>
              <w:jc w:val="right"/>
              <w:rPr>
                <w:color w:val="000000"/>
                <w:szCs w:val="22"/>
              </w:rPr>
            </w:pPr>
            <w:r>
              <w:rPr>
                <w:color w:val="000000"/>
                <w:szCs w:val="22"/>
              </w:rPr>
              <w:t>Automne (année-1)</w:t>
            </w:r>
          </w:p>
        </w:tc>
        <w:tc>
          <w:tcPr>
            <w:tcW w:w="272" w:type="dxa"/>
            <w:tcBorders>
              <w:top w:val="nil"/>
              <w:left w:val="nil"/>
              <w:bottom w:val="single" w:sz="4" w:space="0" w:color="auto"/>
              <w:right w:val="nil"/>
            </w:tcBorders>
            <w:shd w:val="clear" w:color="auto" w:fill="auto"/>
            <w:noWrap/>
            <w:vAlign w:val="bottom"/>
            <w:hideMark/>
          </w:tcPr>
          <w:p w14:paraId="6CEB8149" w14:textId="096C5521" w:rsidR="003A4238" w:rsidRPr="008C3457" w:rsidRDefault="008C3457">
            <w:pPr>
              <w:jc w:val="right"/>
              <w:rPr>
                <w:color w:val="000000"/>
                <w:szCs w:val="22"/>
              </w:rPr>
            </w:pPr>
            <w:r>
              <w:rPr>
                <w:color w:val="000000"/>
                <w:szCs w:val="22"/>
              </w:rPr>
              <w:t xml:space="preserve"> </w:t>
            </w:r>
          </w:p>
        </w:tc>
        <w:tc>
          <w:tcPr>
            <w:tcW w:w="1326" w:type="dxa"/>
            <w:tcBorders>
              <w:top w:val="nil"/>
              <w:left w:val="nil"/>
              <w:bottom w:val="single" w:sz="4" w:space="0" w:color="auto"/>
              <w:right w:val="nil"/>
            </w:tcBorders>
            <w:shd w:val="clear" w:color="auto" w:fill="auto"/>
            <w:noWrap/>
            <w:vAlign w:val="bottom"/>
            <w:hideMark/>
          </w:tcPr>
          <w:p w14:paraId="21CBB765" w14:textId="77777777" w:rsidR="003A4238" w:rsidRPr="008C3457" w:rsidRDefault="003A4238">
            <w:pPr>
              <w:jc w:val="right"/>
              <w:rPr>
                <w:color w:val="000000"/>
                <w:szCs w:val="22"/>
              </w:rPr>
            </w:pPr>
            <w:r>
              <w:rPr>
                <w:color w:val="000000"/>
                <w:szCs w:val="22"/>
              </w:rPr>
              <w:t>Moyenne</w:t>
            </w:r>
          </w:p>
        </w:tc>
        <w:tc>
          <w:tcPr>
            <w:tcW w:w="2270" w:type="dxa"/>
            <w:gridSpan w:val="2"/>
            <w:tcBorders>
              <w:left w:val="nil"/>
              <w:bottom w:val="single" w:sz="4" w:space="0" w:color="auto"/>
              <w:right w:val="nil"/>
            </w:tcBorders>
            <w:shd w:val="clear" w:color="auto" w:fill="auto"/>
            <w:noWrap/>
            <w:vAlign w:val="bottom"/>
            <w:hideMark/>
          </w:tcPr>
          <w:p w14:paraId="11CD4495" w14:textId="683FF61F" w:rsidR="003A4238" w:rsidRPr="008C3457" w:rsidRDefault="003A4238">
            <w:pPr>
              <w:jc w:val="right"/>
              <w:rPr>
                <w:color w:val="000000"/>
                <w:szCs w:val="22"/>
              </w:rPr>
            </w:pPr>
            <w:r>
              <w:rPr>
                <w:color w:val="000000"/>
                <w:szCs w:val="22"/>
              </w:rPr>
              <w:t>Recommandations de prises (tm)</w:t>
            </w:r>
          </w:p>
        </w:tc>
      </w:tr>
      <w:tr w:rsidR="003A4238" w:rsidRPr="008C3457" w14:paraId="7E9931F5" w14:textId="77777777" w:rsidTr="003A4238">
        <w:trPr>
          <w:trHeight w:val="255"/>
        </w:trPr>
        <w:tc>
          <w:tcPr>
            <w:tcW w:w="960" w:type="dxa"/>
            <w:tcBorders>
              <w:top w:val="nil"/>
              <w:left w:val="nil"/>
              <w:bottom w:val="nil"/>
              <w:right w:val="nil"/>
            </w:tcBorders>
            <w:shd w:val="clear" w:color="auto" w:fill="auto"/>
            <w:noWrap/>
            <w:vAlign w:val="bottom"/>
            <w:hideMark/>
          </w:tcPr>
          <w:p w14:paraId="6F2E4DF9" w14:textId="77777777" w:rsidR="003A4238" w:rsidRPr="008C3457" w:rsidRDefault="003A4238">
            <w:pPr>
              <w:jc w:val="center"/>
              <w:rPr>
                <w:color w:val="000000"/>
                <w:szCs w:val="22"/>
              </w:rPr>
            </w:pPr>
            <w:r>
              <w:rPr>
                <w:color w:val="000000"/>
                <w:szCs w:val="22"/>
              </w:rPr>
              <w:t>2010</w:t>
            </w:r>
          </w:p>
        </w:tc>
        <w:tc>
          <w:tcPr>
            <w:tcW w:w="500" w:type="dxa"/>
            <w:tcBorders>
              <w:top w:val="nil"/>
              <w:left w:val="nil"/>
              <w:bottom w:val="nil"/>
              <w:right w:val="nil"/>
            </w:tcBorders>
            <w:shd w:val="clear" w:color="auto" w:fill="auto"/>
            <w:noWrap/>
            <w:vAlign w:val="bottom"/>
            <w:hideMark/>
          </w:tcPr>
          <w:p w14:paraId="5E723A86" w14:textId="77777777" w:rsidR="003A4238" w:rsidRPr="008C3457" w:rsidRDefault="003A4238">
            <w:pPr>
              <w:rPr>
                <w:color w:val="000000"/>
                <w:szCs w:val="22"/>
              </w:rPr>
            </w:pPr>
          </w:p>
        </w:tc>
        <w:tc>
          <w:tcPr>
            <w:tcW w:w="1005" w:type="dxa"/>
            <w:tcBorders>
              <w:top w:val="nil"/>
              <w:left w:val="nil"/>
              <w:bottom w:val="nil"/>
              <w:right w:val="nil"/>
            </w:tcBorders>
            <w:shd w:val="clear" w:color="auto" w:fill="auto"/>
            <w:noWrap/>
            <w:vAlign w:val="bottom"/>
            <w:hideMark/>
          </w:tcPr>
          <w:p w14:paraId="5F3C0443" w14:textId="2B4F57F6" w:rsidR="003A4238" w:rsidRPr="008C3457" w:rsidRDefault="003A4238">
            <w:pPr>
              <w:jc w:val="right"/>
              <w:rPr>
                <w:color w:val="000000"/>
                <w:szCs w:val="22"/>
              </w:rPr>
            </w:pPr>
            <w:r>
              <w:rPr>
                <w:color w:val="000000"/>
                <w:szCs w:val="22"/>
              </w:rPr>
              <w:t>29 452</w:t>
            </w:r>
          </w:p>
        </w:tc>
        <w:tc>
          <w:tcPr>
            <w:tcW w:w="1042" w:type="dxa"/>
            <w:tcBorders>
              <w:top w:val="nil"/>
              <w:left w:val="nil"/>
              <w:bottom w:val="nil"/>
              <w:right w:val="nil"/>
            </w:tcBorders>
            <w:shd w:val="clear" w:color="auto" w:fill="auto"/>
            <w:noWrap/>
            <w:vAlign w:val="bottom"/>
            <w:hideMark/>
          </w:tcPr>
          <w:p w14:paraId="1C7C7986" w14:textId="1817489A" w:rsidR="003A4238" w:rsidRPr="008C3457" w:rsidRDefault="003A4238">
            <w:pPr>
              <w:jc w:val="right"/>
              <w:rPr>
                <w:color w:val="000000"/>
                <w:szCs w:val="22"/>
              </w:rPr>
            </w:pPr>
            <w:r>
              <w:rPr>
                <w:color w:val="000000"/>
                <w:szCs w:val="22"/>
              </w:rPr>
              <w:t>68 752</w:t>
            </w:r>
          </w:p>
        </w:tc>
        <w:tc>
          <w:tcPr>
            <w:tcW w:w="1460" w:type="dxa"/>
            <w:tcBorders>
              <w:top w:val="nil"/>
              <w:left w:val="nil"/>
              <w:bottom w:val="nil"/>
              <w:right w:val="nil"/>
            </w:tcBorders>
            <w:shd w:val="clear" w:color="auto" w:fill="auto"/>
            <w:noWrap/>
            <w:vAlign w:val="bottom"/>
            <w:hideMark/>
          </w:tcPr>
          <w:p w14:paraId="6E4ED4D5" w14:textId="5CD3A231" w:rsidR="003A4238" w:rsidRPr="008C3457" w:rsidRDefault="003A4238">
            <w:pPr>
              <w:jc w:val="right"/>
              <w:rPr>
                <w:color w:val="000000"/>
                <w:szCs w:val="22"/>
              </w:rPr>
            </w:pPr>
            <w:r>
              <w:rPr>
                <w:color w:val="000000"/>
                <w:szCs w:val="22"/>
              </w:rPr>
              <w:t>83 490</w:t>
            </w:r>
          </w:p>
        </w:tc>
        <w:tc>
          <w:tcPr>
            <w:tcW w:w="272" w:type="dxa"/>
            <w:tcBorders>
              <w:top w:val="nil"/>
              <w:left w:val="nil"/>
              <w:bottom w:val="nil"/>
              <w:right w:val="nil"/>
            </w:tcBorders>
            <w:shd w:val="clear" w:color="auto" w:fill="auto"/>
            <w:noWrap/>
            <w:vAlign w:val="bottom"/>
            <w:hideMark/>
          </w:tcPr>
          <w:p w14:paraId="6147D056" w14:textId="77777777" w:rsidR="003A4238" w:rsidRPr="008C3457" w:rsidRDefault="003A4238">
            <w:pPr>
              <w:rPr>
                <w:color w:val="000000"/>
                <w:szCs w:val="22"/>
              </w:rPr>
            </w:pPr>
          </w:p>
        </w:tc>
        <w:tc>
          <w:tcPr>
            <w:tcW w:w="1326" w:type="dxa"/>
            <w:tcBorders>
              <w:top w:val="nil"/>
              <w:left w:val="nil"/>
              <w:bottom w:val="nil"/>
              <w:right w:val="nil"/>
            </w:tcBorders>
            <w:shd w:val="clear" w:color="auto" w:fill="auto"/>
            <w:noWrap/>
            <w:vAlign w:val="bottom"/>
            <w:hideMark/>
          </w:tcPr>
          <w:p w14:paraId="1B104EBB" w14:textId="34E783A6" w:rsidR="003A4238" w:rsidRPr="008C3457" w:rsidRDefault="003A4238">
            <w:pPr>
              <w:jc w:val="right"/>
              <w:rPr>
                <w:color w:val="000000"/>
                <w:szCs w:val="22"/>
              </w:rPr>
            </w:pPr>
            <w:r>
              <w:rPr>
                <w:color w:val="000000"/>
                <w:szCs w:val="22"/>
              </w:rPr>
              <w:t>60 565</w:t>
            </w:r>
          </w:p>
        </w:tc>
        <w:tc>
          <w:tcPr>
            <w:tcW w:w="740" w:type="dxa"/>
            <w:tcBorders>
              <w:top w:val="nil"/>
              <w:left w:val="nil"/>
              <w:bottom w:val="nil"/>
              <w:right w:val="nil"/>
            </w:tcBorders>
            <w:shd w:val="clear" w:color="auto" w:fill="auto"/>
            <w:noWrap/>
            <w:vAlign w:val="bottom"/>
            <w:hideMark/>
          </w:tcPr>
          <w:p w14:paraId="5BA92D74" w14:textId="77777777" w:rsidR="003A4238" w:rsidRPr="008C3457" w:rsidRDefault="003A4238">
            <w:pPr>
              <w:rPr>
                <w:color w:val="000000"/>
                <w:szCs w:val="22"/>
              </w:rPr>
            </w:pPr>
          </w:p>
        </w:tc>
        <w:tc>
          <w:tcPr>
            <w:tcW w:w="1530" w:type="dxa"/>
            <w:tcBorders>
              <w:top w:val="nil"/>
              <w:left w:val="nil"/>
              <w:bottom w:val="nil"/>
              <w:right w:val="nil"/>
            </w:tcBorders>
            <w:shd w:val="clear" w:color="auto" w:fill="auto"/>
            <w:noWrap/>
            <w:vAlign w:val="bottom"/>
            <w:hideMark/>
          </w:tcPr>
          <w:p w14:paraId="66950978" w14:textId="350EB03C" w:rsidR="003A4238" w:rsidRPr="008C3457" w:rsidRDefault="003A4238" w:rsidP="00102787">
            <w:pPr>
              <w:jc w:val="right"/>
              <w:rPr>
                <w:color w:val="000000"/>
                <w:szCs w:val="22"/>
              </w:rPr>
            </w:pPr>
            <w:r>
              <w:rPr>
                <w:color w:val="000000"/>
                <w:szCs w:val="22"/>
              </w:rPr>
              <w:t>3 634</w:t>
            </w:r>
          </w:p>
        </w:tc>
      </w:tr>
      <w:tr w:rsidR="003A4238" w:rsidRPr="008C3457" w14:paraId="14F1F02C" w14:textId="77777777" w:rsidTr="003A4238">
        <w:trPr>
          <w:trHeight w:val="255"/>
        </w:trPr>
        <w:tc>
          <w:tcPr>
            <w:tcW w:w="960" w:type="dxa"/>
            <w:tcBorders>
              <w:top w:val="nil"/>
              <w:left w:val="nil"/>
              <w:bottom w:val="nil"/>
              <w:right w:val="nil"/>
            </w:tcBorders>
            <w:shd w:val="clear" w:color="auto" w:fill="auto"/>
            <w:noWrap/>
            <w:vAlign w:val="bottom"/>
            <w:hideMark/>
          </w:tcPr>
          <w:p w14:paraId="561E7D63" w14:textId="77777777" w:rsidR="003A4238" w:rsidRPr="008C3457" w:rsidRDefault="003A4238">
            <w:pPr>
              <w:jc w:val="center"/>
              <w:rPr>
                <w:color w:val="000000"/>
                <w:szCs w:val="22"/>
              </w:rPr>
            </w:pPr>
            <w:r>
              <w:rPr>
                <w:color w:val="000000"/>
                <w:szCs w:val="22"/>
              </w:rPr>
              <w:t>2011</w:t>
            </w:r>
          </w:p>
        </w:tc>
        <w:tc>
          <w:tcPr>
            <w:tcW w:w="500" w:type="dxa"/>
            <w:tcBorders>
              <w:top w:val="nil"/>
              <w:left w:val="nil"/>
              <w:bottom w:val="nil"/>
              <w:right w:val="nil"/>
            </w:tcBorders>
            <w:shd w:val="clear" w:color="auto" w:fill="auto"/>
            <w:noWrap/>
            <w:vAlign w:val="bottom"/>
            <w:hideMark/>
          </w:tcPr>
          <w:p w14:paraId="6ABD22B1" w14:textId="77777777" w:rsidR="003A4238" w:rsidRPr="008C3457" w:rsidRDefault="003A4238">
            <w:pPr>
              <w:rPr>
                <w:color w:val="000000"/>
                <w:szCs w:val="22"/>
              </w:rPr>
            </w:pPr>
          </w:p>
        </w:tc>
        <w:tc>
          <w:tcPr>
            <w:tcW w:w="1005" w:type="dxa"/>
            <w:tcBorders>
              <w:top w:val="nil"/>
              <w:left w:val="nil"/>
              <w:bottom w:val="nil"/>
              <w:right w:val="nil"/>
            </w:tcBorders>
            <w:shd w:val="clear" w:color="auto" w:fill="auto"/>
            <w:noWrap/>
            <w:vAlign w:val="bottom"/>
            <w:hideMark/>
          </w:tcPr>
          <w:p w14:paraId="74E8D76F" w14:textId="1DEE4F70" w:rsidR="003A4238" w:rsidRPr="008C3457" w:rsidRDefault="003A4238">
            <w:pPr>
              <w:jc w:val="right"/>
              <w:rPr>
                <w:color w:val="000000"/>
                <w:szCs w:val="22"/>
              </w:rPr>
            </w:pPr>
            <w:r>
              <w:rPr>
                <w:color w:val="000000"/>
                <w:szCs w:val="22"/>
              </w:rPr>
              <w:t>12 344</w:t>
            </w:r>
          </w:p>
        </w:tc>
        <w:tc>
          <w:tcPr>
            <w:tcW w:w="1042" w:type="dxa"/>
            <w:tcBorders>
              <w:top w:val="nil"/>
              <w:left w:val="nil"/>
              <w:bottom w:val="nil"/>
              <w:right w:val="nil"/>
            </w:tcBorders>
            <w:shd w:val="clear" w:color="auto" w:fill="auto"/>
            <w:noWrap/>
            <w:vAlign w:val="bottom"/>
            <w:hideMark/>
          </w:tcPr>
          <w:p w14:paraId="239DB630" w14:textId="5048F93C" w:rsidR="003A4238" w:rsidRPr="008C3457" w:rsidRDefault="003A4238">
            <w:pPr>
              <w:jc w:val="right"/>
              <w:rPr>
                <w:color w:val="000000"/>
                <w:szCs w:val="22"/>
              </w:rPr>
            </w:pPr>
            <w:r>
              <w:rPr>
                <w:color w:val="000000"/>
                <w:szCs w:val="22"/>
              </w:rPr>
              <w:t>29 621</w:t>
            </w:r>
          </w:p>
        </w:tc>
        <w:tc>
          <w:tcPr>
            <w:tcW w:w="1460" w:type="dxa"/>
            <w:tcBorders>
              <w:top w:val="nil"/>
              <w:left w:val="nil"/>
              <w:bottom w:val="nil"/>
              <w:right w:val="nil"/>
            </w:tcBorders>
            <w:shd w:val="clear" w:color="auto" w:fill="auto"/>
            <w:noWrap/>
            <w:vAlign w:val="bottom"/>
            <w:hideMark/>
          </w:tcPr>
          <w:p w14:paraId="74630276" w14:textId="3E020EDD" w:rsidR="003A4238" w:rsidRPr="008C3457" w:rsidRDefault="003A4238">
            <w:pPr>
              <w:jc w:val="right"/>
              <w:rPr>
                <w:color w:val="000000"/>
                <w:szCs w:val="22"/>
              </w:rPr>
            </w:pPr>
            <w:r>
              <w:rPr>
                <w:color w:val="000000"/>
                <w:szCs w:val="22"/>
              </w:rPr>
              <w:t>27 821</w:t>
            </w:r>
          </w:p>
        </w:tc>
        <w:tc>
          <w:tcPr>
            <w:tcW w:w="272" w:type="dxa"/>
            <w:tcBorders>
              <w:top w:val="nil"/>
              <w:left w:val="nil"/>
              <w:bottom w:val="nil"/>
              <w:right w:val="nil"/>
            </w:tcBorders>
            <w:shd w:val="clear" w:color="auto" w:fill="auto"/>
            <w:noWrap/>
            <w:vAlign w:val="bottom"/>
            <w:hideMark/>
          </w:tcPr>
          <w:p w14:paraId="15625D75" w14:textId="77777777" w:rsidR="003A4238" w:rsidRPr="008C3457" w:rsidRDefault="003A4238">
            <w:pPr>
              <w:rPr>
                <w:color w:val="000000"/>
                <w:szCs w:val="22"/>
              </w:rPr>
            </w:pPr>
          </w:p>
        </w:tc>
        <w:tc>
          <w:tcPr>
            <w:tcW w:w="1326" w:type="dxa"/>
            <w:tcBorders>
              <w:top w:val="nil"/>
              <w:left w:val="nil"/>
              <w:bottom w:val="nil"/>
              <w:right w:val="nil"/>
            </w:tcBorders>
            <w:shd w:val="clear" w:color="auto" w:fill="auto"/>
            <w:noWrap/>
            <w:vAlign w:val="bottom"/>
            <w:hideMark/>
          </w:tcPr>
          <w:p w14:paraId="79A81D41" w14:textId="30B23772" w:rsidR="003A4238" w:rsidRPr="008C3457" w:rsidRDefault="003A4238">
            <w:pPr>
              <w:jc w:val="right"/>
              <w:rPr>
                <w:color w:val="000000"/>
                <w:szCs w:val="22"/>
              </w:rPr>
            </w:pPr>
            <w:r>
              <w:rPr>
                <w:color w:val="000000"/>
                <w:szCs w:val="22"/>
              </w:rPr>
              <w:t>23 262</w:t>
            </w:r>
          </w:p>
        </w:tc>
        <w:tc>
          <w:tcPr>
            <w:tcW w:w="740" w:type="dxa"/>
            <w:tcBorders>
              <w:top w:val="nil"/>
              <w:left w:val="nil"/>
              <w:bottom w:val="nil"/>
              <w:right w:val="nil"/>
            </w:tcBorders>
            <w:shd w:val="clear" w:color="auto" w:fill="auto"/>
            <w:noWrap/>
            <w:vAlign w:val="bottom"/>
            <w:hideMark/>
          </w:tcPr>
          <w:p w14:paraId="417738F4" w14:textId="77777777" w:rsidR="003A4238" w:rsidRPr="008C3457" w:rsidRDefault="003A4238">
            <w:pPr>
              <w:rPr>
                <w:color w:val="000000"/>
                <w:szCs w:val="22"/>
              </w:rPr>
            </w:pPr>
          </w:p>
        </w:tc>
        <w:tc>
          <w:tcPr>
            <w:tcW w:w="1530" w:type="dxa"/>
            <w:tcBorders>
              <w:top w:val="nil"/>
              <w:left w:val="nil"/>
              <w:bottom w:val="nil"/>
              <w:right w:val="nil"/>
            </w:tcBorders>
            <w:shd w:val="clear" w:color="auto" w:fill="auto"/>
            <w:noWrap/>
            <w:vAlign w:val="bottom"/>
            <w:hideMark/>
          </w:tcPr>
          <w:p w14:paraId="05CFEE34" w14:textId="0F8BC7CA" w:rsidR="003A4238" w:rsidRPr="008C3457" w:rsidRDefault="003A4238" w:rsidP="00102787">
            <w:pPr>
              <w:jc w:val="right"/>
              <w:rPr>
                <w:color w:val="000000"/>
                <w:szCs w:val="22"/>
              </w:rPr>
            </w:pPr>
            <w:r>
              <w:rPr>
                <w:color w:val="000000"/>
                <w:szCs w:val="22"/>
              </w:rPr>
              <w:t>1 396</w:t>
            </w:r>
          </w:p>
        </w:tc>
      </w:tr>
      <w:tr w:rsidR="003A4238" w:rsidRPr="008C3457" w14:paraId="6934753E" w14:textId="77777777" w:rsidTr="003A4238">
        <w:trPr>
          <w:trHeight w:val="255"/>
        </w:trPr>
        <w:tc>
          <w:tcPr>
            <w:tcW w:w="960" w:type="dxa"/>
            <w:tcBorders>
              <w:top w:val="nil"/>
              <w:left w:val="nil"/>
              <w:bottom w:val="nil"/>
              <w:right w:val="nil"/>
            </w:tcBorders>
            <w:shd w:val="clear" w:color="auto" w:fill="auto"/>
            <w:noWrap/>
            <w:vAlign w:val="bottom"/>
            <w:hideMark/>
          </w:tcPr>
          <w:p w14:paraId="20979311" w14:textId="77777777" w:rsidR="003A4238" w:rsidRPr="008C3457" w:rsidRDefault="003A4238">
            <w:pPr>
              <w:jc w:val="center"/>
              <w:rPr>
                <w:color w:val="000000"/>
                <w:szCs w:val="22"/>
              </w:rPr>
            </w:pPr>
            <w:r>
              <w:rPr>
                <w:color w:val="000000"/>
                <w:szCs w:val="22"/>
              </w:rPr>
              <w:t>2012</w:t>
            </w:r>
          </w:p>
        </w:tc>
        <w:tc>
          <w:tcPr>
            <w:tcW w:w="500" w:type="dxa"/>
            <w:tcBorders>
              <w:top w:val="nil"/>
              <w:left w:val="nil"/>
              <w:bottom w:val="nil"/>
              <w:right w:val="nil"/>
            </w:tcBorders>
            <w:shd w:val="clear" w:color="auto" w:fill="auto"/>
            <w:noWrap/>
            <w:vAlign w:val="bottom"/>
            <w:hideMark/>
          </w:tcPr>
          <w:p w14:paraId="71F1A6CC" w14:textId="77777777" w:rsidR="003A4238" w:rsidRPr="008C3457" w:rsidRDefault="003A4238">
            <w:pPr>
              <w:rPr>
                <w:color w:val="000000"/>
                <w:szCs w:val="22"/>
              </w:rPr>
            </w:pPr>
          </w:p>
        </w:tc>
        <w:tc>
          <w:tcPr>
            <w:tcW w:w="1005" w:type="dxa"/>
            <w:tcBorders>
              <w:top w:val="nil"/>
              <w:left w:val="nil"/>
              <w:bottom w:val="nil"/>
              <w:right w:val="nil"/>
            </w:tcBorders>
            <w:shd w:val="clear" w:color="auto" w:fill="auto"/>
            <w:noWrap/>
            <w:vAlign w:val="bottom"/>
            <w:hideMark/>
          </w:tcPr>
          <w:p w14:paraId="5E98E614" w14:textId="5A6A31B6" w:rsidR="003A4238" w:rsidRPr="008C3457" w:rsidRDefault="003A4238">
            <w:pPr>
              <w:jc w:val="right"/>
              <w:rPr>
                <w:color w:val="000000"/>
                <w:szCs w:val="22"/>
              </w:rPr>
            </w:pPr>
            <w:r>
              <w:rPr>
                <w:color w:val="000000"/>
                <w:szCs w:val="22"/>
              </w:rPr>
              <w:t>18 113</w:t>
            </w:r>
          </w:p>
        </w:tc>
        <w:tc>
          <w:tcPr>
            <w:tcW w:w="1042" w:type="dxa"/>
            <w:tcBorders>
              <w:top w:val="nil"/>
              <w:left w:val="nil"/>
              <w:bottom w:val="nil"/>
              <w:right w:val="nil"/>
            </w:tcBorders>
            <w:shd w:val="clear" w:color="auto" w:fill="auto"/>
            <w:noWrap/>
            <w:vAlign w:val="bottom"/>
            <w:hideMark/>
          </w:tcPr>
          <w:p w14:paraId="2ABF84C7" w14:textId="1A8E62F8" w:rsidR="003A4238" w:rsidRPr="008C3457" w:rsidRDefault="003A4238">
            <w:pPr>
              <w:jc w:val="right"/>
              <w:rPr>
                <w:color w:val="000000"/>
                <w:szCs w:val="22"/>
              </w:rPr>
            </w:pPr>
            <w:r>
              <w:rPr>
                <w:color w:val="000000"/>
                <w:szCs w:val="22"/>
              </w:rPr>
              <w:t>46 209</w:t>
            </w:r>
          </w:p>
        </w:tc>
        <w:tc>
          <w:tcPr>
            <w:tcW w:w="1460" w:type="dxa"/>
            <w:tcBorders>
              <w:top w:val="nil"/>
              <w:left w:val="nil"/>
              <w:bottom w:val="nil"/>
              <w:right w:val="nil"/>
            </w:tcBorders>
            <w:shd w:val="clear" w:color="auto" w:fill="auto"/>
            <w:noWrap/>
            <w:vAlign w:val="bottom"/>
            <w:hideMark/>
          </w:tcPr>
          <w:p w14:paraId="10559545" w14:textId="7000FEB0" w:rsidR="003A4238" w:rsidRPr="008C3457" w:rsidRDefault="003A4238">
            <w:pPr>
              <w:jc w:val="right"/>
              <w:rPr>
                <w:color w:val="000000"/>
                <w:szCs w:val="22"/>
              </w:rPr>
            </w:pPr>
            <w:r>
              <w:rPr>
                <w:color w:val="000000"/>
                <w:szCs w:val="22"/>
              </w:rPr>
              <w:t>30 354</w:t>
            </w:r>
          </w:p>
        </w:tc>
        <w:tc>
          <w:tcPr>
            <w:tcW w:w="272" w:type="dxa"/>
            <w:tcBorders>
              <w:top w:val="nil"/>
              <w:left w:val="nil"/>
              <w:bottom w:val="nil"/>
              <w:right w:val="nil"/>
            </w:tcBorders>
            <w:shd w:val="clear" w:color="auto" w:fill="auto"/>
            <w:noWrap/>
            <w:vAlign w:val="bottom"/>
            <w:hideMark/>
          </w:tcPr>
          <w:p w14:paraId="3E4C3CC7" w14:textId="77777777" w:rsidR="003A4238" w:rsidRPr="008C3457" w:rsidRDefault="003A4238">
            <w:pPr>
              <w:rPr>
                <w:color w:val="000000"/>
                <w:szCs w:val="22"/>
              </w:rPr>
            </w:pPr>
          </w:p>
        </w:tc>
        <w:tc>
          <w:tcPr>
            <w:tcW w:w="1326" w:type="dxa"/>
            <w:tcBorders>
              <w:top w:val="nil"/>
              <w:left w:val="nil"/>
              <w:bottom w:val="nil"/>
              <w:right w:val="nil"/>
            </w:tcBorders>
            <w:shd w:val="clear" w:color="auto" w:fill="auto"/>
            <w:noWrap/>
            <w:vAlign w:val="bottom"/>
            <w:hideMark/>
          </w:tcPr>
          <w:p w14:paraId="0DC4676D" w14:textId="4005D679" w:rsidR="003A4238" w:rsidRPr="008C3457" w:rsidRDefault="003A4238">
            <w:pPr>
              <w:jc w:val="right"/>
              <w:rPr>
                <w:color w:val="000000"/>
                <w:szCs w:val="22"/>
              </w:rPr>
            </w:pPr>
            <w:r>
              <w:rPr>
                <w:color w:val="000000"/>
                <w:szCs w:val="22"/>
              </w:rPr>
              <w:t>31 559</w:t>
            </w:r>
          </w:p>
        </w:tc>
        <w:tc>
          <w:tcPr>
            <w:tcW w:w="740" w:type="dxa"/>
            <w:tcBorders>
              <w:top w:val="nil"/>
              <w:left w:val="nil"/>
              <w:bottom w:val="nil"/>
              <w:right w:val="nil"/>
            </w:tcBorders>
            <w:shd w:val="clear" w:color="auto" w:fill="auto"/>
            <w:noWrap/>
            <w:vAlign w:val="bottom"/>
            <w:hideMark/>
          </w:tcPr>
          <w:p w14:paraId="42C07EDD" w14:textId="77777777" w:rsidR="003A4238" w:rsidRPr="008C3457" w:rsidRDefault="003A4238">
            <w:pPr>
              <w:rPr>
                <w:color w:val="000000"/>
                <w:szCs w:val="22"/>
              </w:rPr>
            </w:pPr>
          </w:p>
        </w:tc>
        <w:tc>
          <w:tcPr>
            <w:tcW w:w="1530" w:type="dxa"/>
            <w:tcBorders>
              <w:top w:val="nil"/>
              <w:left w:val="nil"/>
              <w:bottom w:val="nil"/>
              <w:right w:val="nil"/>
            </w:tcBorders>
            <w:shd w:val="clear" w:color="auto" w:fill="auto"/>
            <w:noWrap/>
            <w:vAlign w:val="bottom"/>
            <w:hideMark/>
          </w:tcPr>
          <w:p w14:paraId="556A470C" w14:textId="007C49A2" w:rsidR="003A4238" w:rsidRPr="008C3457" w:rsidRDefault="003A4238" w:rsidP="00102787">
            <w:pPr>
              <w:jc w:val="right"/>
              <w:rPr>
                <w:color w:val="000000"/>
                <w:szCs w:val="22"/>
              </w:rPr>
            </w:pPr>
            <w:r>
              <w:rPr>
                <w:color w:val="000000"/>
                <w:szCs w:val="22"/>
              </w:rPr>
              <w:t>1 894</w:t>
            </w:r>
          </w:p>
        </w:tc>
      </w:tr>
      <w:tr w:rsidR="003A4238" w:rsidRPr="008C3457" w14:paraId="7982AE6D" w14:textId="77777777" w:rsidTr="003A4238">
        <w:trPr>
          <w:trHeight w:val="255"/>
        </w:trPr>
        <w:tc>
          <w:tcPr>
            <w:tcW w:w="960" w:type="dxa"/>
            <w:tcBorders>
              <w:top w:val="nil"/>
              <w:left w:val="nil"/>
              <w:bottom w:val="nil"/>
              <w:right w:val="nil"/>
            </w:tcBorders>
            <w:shd w:val="clear" w:color="auto" w:fill="auto"/>
            <w:noWrap/>
            <w:vAlign w:val="bottom"/>
            <w:hideMark/>
          </w:tcPr>
          <w:p w14:paraId="1C82BC38" w14:textId="77777777" w:rsidR="003A4238" w:rsidRPr="008C3457" w:rsidRDefault="003A4238">
            <w:pPr>
              <w:jc w:val="center"/>
              <w:rPr>
                <w:color w:val="000000"/>
                <w:szCs w:val="22"/>
              </w:rPr>
            </w:pPr>
            <w:r>
              <w:rPr>
                <w:color w:val="000000"/>
                <w:szCs w:val="22"/>
              </w:rPr>
              <w:t>2013</w:t>
            </w:r>
          </w:p>
        </w:tc>
        <w:tc>
          <w:tcPr>
            <w:tcW w:w="500" w:type="dxa"/>
            <w:tcBorders>
              <w:top w:val="nil"/>
              <w:left w:val="nil"/>
              <w:bottom w:val="nil"/>
              <w:right w:val="nil"/>
            </w:tcBorders>
            <w:shd w:val="clear" w:color="auto" w:fill="auto"/>
            <w:noWrap/>
            <w:vAlign w:val="bottom"/>
            <w:hideMark/>
          </w:tcPr>
          <w:p w14:paraId="5E7B6B03" w14:textId="77777777" w:rsidR="003A4238" w:rsidRPr="008C3457" w:rsidRDefault="003A4238">
            <w:pPr>
              <w:rPr>
                <w:color w:val="000000"/>
                <w:szCs w:val="22"/>
              </w:rPr>
            </w:pPr>
          </w:p>
        </w:tc>
        <w:tc>
          <w:tcPr>
            <w:tcW w:w="1005" w:type="dxa"/>
            <w:tcBorders>
              <w:top w:val="nil"/>
              <w:left w:val="nil"/>
              <w:bottom w:val="nil"/>
              <w:right w:val="nil"/>
            </w:tcBorders>
            <w:shd w:val="clear" w:color="auto" w:fill="auto"/>
            <w:noWrap/>
            <w:vAlign w:val="bottom"/>
            <w:hideMark/>
          </w:tcPr>
          <w:p w14:paraId="3FC5348C" w14:textId="3701EB89" w:rsidR="003A4238" w:rsidRPr="008C3457" w:rsidRDefault="003A4238">
            <w:pPr>
              <w:jc w:val="right"/>
              <w:rPr>
                <w:color w:val="000000"/>
                <w:szCs w:val="22"/>
              </w:rPr>
            </w:pPr>
            <w:r>
              <w:rPr>
                <w:color w:val="000000"/>
                <w:szCs w:val="22"/>
              </w:rPr>
              <w:t>2 249</w:t>
            </w:r>
          </w:p>
        </w:tc>
        <w:tc>
          <w:tcPr>
            <w:tcW w:w="1042" w:type="dxa"/>
            <w:tcBorders>
              <w:top w:val="nil"/>
              <w:left w:val="nil"/>
              <w:bottom w:val="nil"/>
              <w:right w:val="nil"/>
            </w:tcBorders>
            <w:shd w:val="clear" w:color="auto" w:fill="auto"/>
            <w:noWrap/>
            <w:vAlign w:val="bottom"/>
            <w:hideMark/>
          </w:tcPr>
          <w:p w14:paraId="0B7DAC44" w14:textId="63777459" w:rsidR="003A4238" w:rsidRPr="008C3457" w:rsidRDefault="003A4238">
            <w:pPr>
              <w:jc w:val="right"/>
              <w:rPr>
                <w:color w:val="000000"/>
                <w:szCs w:val="22"/>
              </w:rPr>
            </w:pPr>
            <w:r>
              <w:rPr>
                <w:color w:val="000000"/>
                <w:szCs w:val="22"/>
              </w:rPr>
              <w:t>12 766</w:t>
            </w:r>
          </w:p>
        </w:tc>
        <w:tc>
          <w:tcPr>
            <w:tcW w:w="1460" w:type="dxa"/>
            <w:tcBorders>
              <w:top w:val="nil"/>
              <w:left w:val="nil"/>
              <w:bottom w:val="nil"/>
              <w:right w:val="nil"/>
            </w:tcBorders>
            <w:shd w:val="clear" w:color="auto" w:fill="auto"/>
            <w:noWrap/>
            <w:vAlign w:val="bottom"/>
            <w:hideMark/>
          </w:tcPr>
          <w:p w14:paraId="6F46522A" w14:textId="71378DEF" w:rsidR="003A4238" w:rsidRPr="008C3457" w:rsidRDefault="003A4238">
            <w:pPr>
              <w:jc w:val="right"/>
              <w:rPr>
                <w:color w:val="000000"/>
                <w:szCs w:val="22"/>
              </w:rPr>
            </w:pPr>
            <w:r>
              <w:rPr>
                <w:color w:val="000000"/>
                <w:szCs w:val="22"/>
              </w:rPr>
              <w:t>31 199</w:t>
            </w:r>
          </w:p>
        </w:tc>
        <w:tc>
          <w:tcPr>
            <w:tcW w:w="272" w:type="dxa"/>
            <w:tcBorders>
              <w:top w:val="nil"/>
              <w:left w:val="nil"/>
              <w:bottom w:val="nil"/>
              <w:right w:val="nil"/>
            </w:tcBorders>
            <w:shd w:val="clear" w:color="auto" w:fill="auto"/>
            <w:noWrap/>
            <w:vAlign w:val="bottom"/>
            <w:hideMark/>
          </w:tcPr>
          <w:p w14:paraId="77CB0E90" w14:textId="77777777" w:rsidR="003A4238" w:rsidRPr="008C3457" w:rsidRDefault="003A4238">
            <w:pPr>
              <w:rPr>
                <w:color w:val="000000"/>
                <w:szCs w:val="22"/>
              </w:rPr>
            </w:pPr>
          </w:p>
        </w:tc>
        <w:tc>
          <w:tcPr>
            <w:tcW w:w="1326" w:type="dxa"/>
            <w:tcBorders>
              <w:top w:val="nil"/>
              <w:left w:val="nil"/>
              <w:bottom w:val="nil"/>
              <w:right w:val="nil"/>
            </w:tcBorders>
            <w:shd w:val="clear" w:color="auto" w:fill="auto"/>
            <w:noWrap/>
            <w:vAlign w:val="bottom"/>
            <w:hideMark/>
          </w:tcPr>
          <w:p w14:paraId="43FAAD83" w14:textId="3B01B36E" w:rsidR="003A4238" w:rsidRPr="008C3457" w:rsidRDefault="003A4238">
            <w:pPr>
              <w:jc w:val="right"/>
              <w:rPr>
                <w:color w:val="000000"/>
                <w:szCs w:val="22"/>
              </w:rPr>
            </w:pPr>
            <w:r>
              <w:rPr>
                <w:color w:val="000000"/>
                <w:szCs w:val="22"/>
              </w:rPr>
              <w:t>15 404</w:t>
            </w:r>
          </w:p>
        </w:tc>
        <w:tc>
          <w:tcPr>
            <w:tcW w:w="740" w:type="dxa"/>
            <w:tcBorders>
              <w:top w:val="nil"/>
              <w:left w:val="nil"/>
              <w:bottom w:val="nil"/>
              <w:right w:val="nil"/>
            </w:tcBorders>
            <w:shd w:val="clear" w:color="auto" w:fill="auto"/>
            <w:noWrap/>
            <w:vAlign w:val="bottom"/>
            <w:hideMark/>
          </w:tcPr>
          <w:p w14:paraId="02DF5688" w14:textId="77777777" w:rsidR="003A4238" w:rsidRPr="008C3457" w:rsidRDefault="003A4238">
            <w:pPr>
              <w:rPr>
                <w:color w:val="000000"/>
                <w:szCs w:val="22"/>
              </w:rPr>
            </w:pPr>
          </w:p>
        </w:tc>
        <w:tc>
          <w:tcPr>
            <w:tcW w:w="1530" w:type="dxa"/>
            <w:tcBorders>
              <w:top w:val="nil"/>
              <w:left w:val="nil"/>
              <w:bottom w:val="nil"/>
              <w:right w:val="nil"/>
            </w:tcBorders>
            <w:shd w:val="clear" w:color="auto" w:fill="auto"/>
            <w:noWrap/>
            <w:vAlign w:val="bottom"/>
            <w:hideMark/>
          </w:tcPr>
          <w:p w14:paraId="2C48A22F" w14:textId="3B2176A3" w:rsidR="003A4238" w:rsidRPr="008C3457" w:rsidRDefault="003A4238" w:rsidP="00102787">
            <w:pPr>
              <w:jc w:val="right"/>
              <w:rPr>
                <w:color w:val="000000"/>
                <w:szCs w:val="22"/>
              </w:rPr>
            </w:pPr>
            <w:r>
              <w:rPr>
                <w:color w:val="000000"/>
                <w:szCs w:val="22"/>
              </w:rPr>
              <w:t>924</w:t>
            </w:r>
          </w:p>
        </w:tc>
      </w:tr>
      <w:tr w:rsidR="003A4238" w:rsidRPr="008C3457" w14:paraId="2630F9B3" w14:textId="77777777" w:rsidTr="003A4238">
        <w:trPr>
          <w:trHeight w:val="255"/>
        </w:trPr>
        <w:tc>
          <w:tcPr>
            <w:tcW w:w="960" w:type="dxa"/>
            <w:tcBorders>
              <w:top w:val="nil"/>
              <w:left w:val="nil"/>
              <w:bottom w:val="nil"/>
              <w:right w:val="nil"/>
            </w:tcBorders>
            <w:shd w:val="clear" w:color="auto" w:fill="auto"/>
            <w:noWrap/>
            <w:vAlign w:val="bottom"/>
            <w:hideMark/>
          </w:tcPr>
          <w:p w14:paraId="256A8522" w14:textId="77777777" w:rsidR="003A4238" w:rsidRPr="008C3457" w:rsidRDefault="003A4238">
            <w:pPr>
              <w:jc w:val="center"/>
              <w:rPr>
                <w:color w:val="000000"/>
                <w:szCs w:val="22"/>
              </w:rPr>
            </w:pPr>
            <w:r>
              <w:rPr>
                <w:color w:val="000000"/>
                <w:szCs w:val="22"/>
              </w:rPr>
              <w:t>2014</w:t>
            </w:r>
          </w:p>
        </w:tc>
        <w:tc>
          <w:tcPr>
            <w:tcW w:w="500" w:type="dxa"/>
            <w:tcBorders>
              <w:top w:val="nil"/>
              <w:left w:val="nil"/>
              <w:bottom w:val="nil"/>
              <w:right w:val="nil"/>
            </w:tcBorders>
            <w:shd w:val="clear" w:color="auto" w:fill="auto"/>
            <w:noWrap/>
            <w:vAlign w:val="bottom"/>
            <w:hideMark/>
          </w:tcPr>
          <w:p w14:paraId="028234A9" w14:textId="77777777" w:rsidR="003A4238" w:rsidRPr="008C3457" w:rsidRDefault="003A4238">
            <w:pPr>
              <w:rPr>
                <w:color w:val="000000"/>
                <w:szCs w:val="22"/>
              </w:rPr>
            </w:pPr>
          </w:p>
        </w:tc>
        <w:tc>
          <w:tcPr>
            <w:tcW w:w="1005" w:type="dxa"/>
            <w:tcBorders>
              <w:top w:val="nil"/>
              <w:left w:val="nil"/>
              <w:bottom w:val="nil"/>
              <w:right w:val="nil"/>
            </w:tcBorders>
            <w:shd w:val="clear" w:color="auto" w:fill="auto"/>
            <w:noWrap/>
            <w:vAlign w:val="bottom"/>
            <w:hideMark/>
          </w:tcPr>
          <w:p w14:paraId="582AD990" w14:textId="5FB5A722" w:rsidR="003A4238" w:rsidRPr="008C3457" w:rsidRDefault="003A4238">
            <w:pPr>
              <w:jc w:val="right"/>
              <w:rPr>
                <w:color w:val="000000"/>
                <w:szCs w:val="22"/>
              </w:rPr>
            </w:pPr>
            <w:r>
              <w:rPr>
                <w:color w:val="000000"/>
                <w:szCs w:val="22"/>
              </w:rPr>
              <w:t>1 654</w:t>
            </w:r>
          </w:p>
        </w:tc>
        <w:tc>
          <w:tcPr>
            <w:tcW w:w="1042" w:type="dxa"/>
            <w:tcBorders>
              <w:top w:val="nil"/>
              <w:left w:val="nil"/>
              <w:bottom w:val="nil"/>
              <w:right w:val="nil"/>
            </w:tcBorders>
            <w:shd w:val="clear" w:color="auto" w:fill="auto"/>
            <w:noWrap/>
            <w:vAlign w:val="bottom"/>
            <w:hideMark/>
          </w:tcPr>
          <w:p w14:paraId="7EE93C8F" w14:textId="78B75345" w:rsidR="003A4238" w:rsidRPr="008C3457" w:rsidRDefault="003A4238">
            <w:pPr>
              <w:jc w:val="right"/>
              <w:rPr>
                <w:color w:val="000000"/>
                <w:szCs w:val="22"/>
              </w:rPr>
            </w:pPr>
            <w:r>
              <w:rPr>
                <w:color w:val="000000"/>
                <w:szCs w:val="22"/>
              </w:rPr>
              <w:t>8 564</w:t>
            </w:r>
          </w:p>
        </w:tc>
        <w:tc>
          <w:tcPr>
            <w:tcW w:w="1460" w:type="dxa"/>
            <w:tcBorders>
              <w:top w:val="nil"/>
              <w:left w:val="nil"/>
              <w:bottom w:val="nil"/>
              <w:right w:val="nil"/>
            </w:tcBorders>
            <w:shd w:val="clear" w:color="auto" w:fill="auto"/>
            <w:noWrap/>
            <w:vAlign w:val="bottom"/>
            <w:hideMark/>
          </w:tcPr>
          <w:p w14:paraId="54C52339" w14:textId="7B4D0E85" w:rsidR="003A4238" w:rsidRPr="008C3457" w:rsidRDefault="003A4238">
            <w:pPr>
              <w:jc w:val="right"/>
              <w:rPr>
                <w:color w:val="000000"/>
                <w:szCs w:val="22"/>
              </w:rPr>
            </w:pPr>
            <w:r>
              <w:rPr>
                <w:color w:val="000000"/>
                <w:szCs w:val="22"/>
              </w:rPr>
              <w:t>10 828</w:t>
            </w:r>
          </w:p>
        </w:tc>
        <w:tc>
          <w:tcPr>
            <w:tcW w:w="272" w:type="dxa"/>
            <w:tcBorders>
              <w:top w:val="nil"/>
              <w:left w:val="nil"/>
              <w:bottom w:val="nil"/>
              <w:right w:val="nil"/>
            </w:tcBorders>
            <w:shd w:val="clear" w:color="auto" w:fill="auto"/>
            <w:noWrap/>
            <w:vAlign w:val="bottom"/>
            <w:hideMark/>
          </w:tcPr>
          <w:p w14:paraId="29E5237D" w14:textId="77777777" w:rsidR="003A4238" w:rsidRPr="008C3457" w:rsidRDefault="003A4238">
            <w:pPr>
              <w:rPr>
                <w:color w:val="000000"/>
                <w:szCs w:val="22"/>
              </w:rPr>
            </w:pPr>
          </w:p>
        </w:tc>
        <w:tc>
          <w:tcPr>
            <w:tcW w:w="1326" w:type="dxa"/>
            <w:tcBorders>
              <w:top w:val="nil"/>
              <w:left w:val="nil"/>
              <w:bottom w:val="nil"/>
              <w:right w:val="nil"/>
            </w:tcBorders>
            <w:shd w:val="clear" w:color="auto" w:fill="auto"/>
            <w:noWrap/>
            <w:vAlign w:val="bottom"/>
            <w:hideMark/>
          </w:tcPr>
          <w:p w14:paraId="568F4DD2" w14:textId="4B4D43C6" w:rsidR="003A4238" w:rsidRPr="008C3457" w:rsidRDefault="003A4238">
            <w:pPr>
              <w:jc w:val="right"/>
              <w:rPr>
                <w:color w:val="000000"/>
                <w:szCs w:val="22"/>
              </w:rPr>
            </w:pPr>
            <w:r>
              <w:rPr>
                <w:color w:val="000000"/>
                <w:szCs w:val="22"/>
              </w:rPr>
              <w:t>7 015</w:t>
            </w:r>
          </w:p>
        </w:tc>
        <w:tc>
          <w:tcPr>
            <w:tcW w:w="740" w:type="dxa"/>
            <w:tcBorders>
              <w:top w:val="nil"/>
              <w:left w:val="nil"/>
              <w:bottom w:val="nil"/>
              <w:right w:val="nil"/>
            </w:tcBorders>
            <w:shd w:val="clear" w:color="auto" w:fill="auto"/>
            <w:noWrap/>
            <w:vAlign w:val="bottom"/>
            <w:hideMark/>
          </w:tcPr>
          <w:p w14:paraId="52A96235" w14:textId="77777777" w:rsidR="003A4238" w:rsidRPr="008C3457" w:rsidRDefault="003A4238">
            <w:pPr>
              <w:rPr>
                <w:color w:val="000000"/>
                <w:szCs w:val="22"/>
              </w:rPr>
            </w:pPr>
          </w:p>
        </w:tc>
        <w:tc>
          <w:tcPr>
            <w:tcW w:w="1530" w:type="dxa"/>
            <w:tcBorders>
              <w:top w:val="nil"/>
              <w:left w:val="nil"/>
              <w:bottom w:val="nil"/>
              <w:right w:val="nil"/>
            </w:tcBorders>
            <w:shd w:val="clear" w:color="auto" w:fill="auto"/>
            <w:noWrap/>
            <w:vAlign w:val="bottom"/>
            <w:hideMark/>
          </w:tcPr>
          <w:p w14:paraId="188E4D1C" w14:textId="0DD11A32" w:rsidR="003A4238" w:rsidRPr="008C3457" w:rsidRDefault="003A4238" w:rsidP="00102787">
            <w:pPr>
              <w:jc w:val="right"/>
              <w:rPr>
                <w:color w:val="000000"/>
                <w:szCs w:val="22"/>
              </w:rPr>
            </w:pPr>
            <w:r>
              <w:rPr>
                <w:color w:val="000000"/>
                <w:szCs w:val="22"/>
              </w:rPr>
              <w:t>421</w:t>
            </w:r>
          </w:p>
        </w:tc>
      </w:tr>
      <w:tr w:rsidR="003A4238" w:rsidRPr="008C3457" w14:paraId="7F04DEE0" w14:textId="77777777" w:rsidTr="003A4238">
        <w:trPr>
          <w:trHeight w:val="255"/>
        </w:trPr>
        <w:tc>
          <w:tcPr>
            <w:tcW w:w="960" w:type="dxa"/>
            <w:tcBorders>
              <w:top w:val="nil"/>
              <w:left w:val="nil"/>
              <w:bottom w:val="nil"/>
              <w:right w:val="nil"/>
            </w:tcBorders>
            <w:shd w:val="clear" w:color="auto" w:fill="auto"/>
            <w:noWrap/>
            <w:vAlign w:val="bottom"/>
            <w:hideMark/>
          </w:tcPr>
          <w:p w14:paraId="3FE8094A" w14:textId="77777777" w:rsidR="003A4238" w:rsidRPr="008C3457" w:rsidRDefault="003A4238">
            <w:pPr>
              <w:jc w:val="center"/>
              <w:rPr>
                <w:color w:val="000000"/>
                <w:szCs w:val="22"/>
              </w:rPr>
            </w:pPr>
            <w:r>
              <w:rPr>
                <w:color w:val="000000"/>
                <w:szCs w:val="22"/>
              </w:rPr>
              <w:t>2015</w:t>
            </w:r>
          </w:p>
        </w:tc>
        <w:tc>
          <w:tcPr>
            <w:tcW w:w="500" w:type="dxa"/>
            <w:tcBorders>
              <w:top w:val="nil"/>
              <w:left w:val="nil"/>
              <w:bottom w:val="nil"/>
              <w:right w:val="nil"/>
            </w:tcBorders>
            <w:shd w:val="clear" w:color="auto" w:fill="auto"/>
            <w:noWrap/>
            <w:vAlign w:val="bottom"/>
            <w:hideMark/>
          </w:tcPr>
          <w:p w14:paraId="43B93DBD" w14:textId="77777777" w:rsidR="003A4238" w:rsidRPr="008C3457" w:rsidRDefault="003A4238">
            <w:pPr>
              <w:rPr>
                <w:color w:val="000000"/>
                <w:szCs w:val="22"/>
              </w:rPr>
            </w:pPr>
          </w:p>
        </w:tc>
        <w:tc>
          <w:tcPr>
            <w:tcW w:w="1005" w:type="dxa"/>
            <w:tcBorders>
              <w:top w:val="nil"/>
              <w:left w:val="nil"/>
              <w:bottom w:val="nil"/>
              <w:right w:val="nil"/>
            </w:tcBorders>
            <w:shd w:val="clear" w:color="auto" w:fill="auto"/>
            <w:noWrap/>
            <w:vAlign w:val="bottom"/>
            <w:hideMark/>
          </w:tcPr>
          <w:p w14:paraId="34825E0B" w14:textId="56D99E50" w:rsidR="003A4238" w:rsidRPr="008C3457" w:rsidRDefault="003A4238">
            <w:pPr>
              <w:jc w:val="right"/>
              <w:rPr>
                <w:color w:val="000000"/>
                <w:szCs w:val="22"/>
              </w:rPr>
            </w:pPr>
            <w:r>
              <w:rPr>
                <w:color w:val="000000"/>
                <w:szCs w:val="22"/>
              </w:rPr>
              <w:t>2 650</w:t>
            </w:r>
          </w:p>
        </w:tc>
        <w:tc>
          <w:tcPr>
            <w:tcW w:w="1042" w:type="dxa"/>
            <w:tcBorders>
              <w:top w:val="nil"/>
              <w:left w:val="nil"/>
              <w:bottom w:val="nil"/>
              <w:right w:val="nil"/>
            </w:tcBorders>
            <w:shd w:val="clear" w:color="auto" w:fill="auto"/>
            <w:noWrap/>
            <w:vAlign w:val="bottom"/>
            <w:hideMark/>
          </w:tcPr>
          <w:p w14:paraId="085E926F" w14:textId="2C026F36" w:rsidR="003A4238" w:rsidRPr="008C3457" w:rsidRDefault="003A4238">
            <w:pPr>
              <w:jc w:val="right"/>
              <w:rPr>
                <w:color w:val="000000"/>
                <w:szCs w:val="22"/>
              </w:rPr>
            </w:pPr>
            <w:r>
              <w:rPr>
                <w:color w:val="000000"/>
                <w:szCs w:val="22"/>
              </w:rPr>
              <w:t>5 861</w:t>
            </w:r>
          </w:p>
        </w:tc>
        <w:tc>
          <w:tcPr>
            <w:tcW w:w="1460" w:type="dxa"/>
            <w:tcBorders>
              <w:top w:val="nil"/>
              <w:left w:val="nil"/>
              <w:bottom w:val="nil"/>
              <w:right w:val="nil"/>
            </w:tcBorders>
            <w:shd w:val="clear" w:color="auto" w:fill="auto"/>
            <w:noWrap/>
            <w:vAlign w:val="bottom"/>
            <w:hideMark/>
          </w:tcPr>
          <w:p w14:paraId="2F2455E9" w14:textId="5632F887" w:rsidR="003A4238" w:rsidRPr="008C3457" w:rsidRDefault="003A4238">
            <w:pPr>
              <w:jc w:val="right"/>
              <w:rPr>
                <w:color w:val="000000"/>
                <w:szCs w:val="22"/>
              </w:rPr>
            </w:pPr>
            <w:r>
              <w:rPr>
                <w:color w:val="000000"/>
                <w:szCs w:val="22"/>
              </w:rPr>
              <w:t>12 682</w:t>
            </w:r>
          </w:p>
        </w:tc>
        <w:tc>
          <w:tcPr>
            <w:tcW w:w="272" w:type="dxa"/>
            <w:tcBorders>
              <w:top w:val="nil"/>
              <w:left w:val="nil"/>
              <w:bottom w:val="nil"/>
              <w:right w:val="nil"/>
            </w:tcBorders>
            <w:shd w:val="clear" w:color="auto" w:fill="auto"/>
            <w:noWrap/>
            <w:vAlign w:val="bottom"/>
            <w:hideMark/>
          </w:tcPr>
          <w:p w14:paraId="20009E38" w14:textId="77777777" w:rsidR="003A4238" w:rsidRPr="008C3457" w:rsidRDefault="003A4238">
            <w:pPr>
              <w:rPr>
                <w:color w:val="000000"/>
                <w:szCs w:val="22"/>
              </w:rPr>
            </w:pPr>
          </w:p>
        </w:tc>
        <w:tc>
          <w:tcPr>
            <w:tcW w:w="1326" w:type="dxa"/>
            <w:tcBorders>
              <w:top w:val="nil"/>
              <w:left w:val="nil"/>
              <w:bottom w:val="nil"/>
              <w:right w:val="nil"/>
            </w:tcBorders>
            <w:shd w:val="clear" w:color="auto" w:fill="auto"/>
            <w:noWrap/>
            <w:vAlign w:val="bottom"/>
            <w:hideMark/>
          </w:tcPr>
          <w:p w14:paraId="52C28443" w14:textId="6E2DE156" w:rsidR="003A4238" w:rsidRPr="008C3457" w:rsidRDefault="003A4238">
            <w:pPr>
              <w:jc w:val="right"/>
              <w:rPr>
                <w:color w:val="000000"/>
                <w:szCs w:val="22"/>
              </w:rPr>
            </w:pPr>
            <w:r>
              <w:rPr>
                <w:color w:val="000000"/>
                <w:szCs w:val="22"/>
              </w:rPr>
              <w:t>7 064</w:t>
            </w:r>
          </w:p>
        </w:tc>
        <w:tc>
          <w:tcPr>
            <w:tcW w:w="740" w:type="dxa"/>
            <w:tcBorders>
              <w:top w:val="nil"/>
              <w:left w:val="nil"/>
              <w:bottom w:val="nil"/>
              <w:right w:val="nil"/>
            </w:tcBorders>
            <w:shd w:val="clear" w:color="auto" w:fill="auto"/>
            <w:noWrap/>
            <w:vAlign w:val="bottom"/>
            <w:hideMark/>
          </w:tcPr>
          <w:p w14:paraId="0B58E7D8" w14:textId="77777777" w:rsidR="003A4238" w:rsidRPr="008C3457" w:rsidRDefault="003A4238">
            <w:pPr>
              <w:rPr>
                <w:color w:val="000000"/>
                <w:szCs w:val="22"/>
              </w:rPr>
            </w:pPr>
          </w:p>
        </w:tc>
        <w:tc>
          <w:tcPr>
            <w:tcW w:w="1530" w:type="dxa"/>
            <w:tcBorders>
              <w:top w:val="nil"/>
              <w:left w:val="nil"/>
              <w:bottom w:val="nil"/>
              <w:right w:val="nil"/>
            </w:tcBorders>
            <w:shd w:val="clear" w:color="auto" w:fill="auto"/>
            <w:noWrap/>
            <w:vAlign w:val="bottom"/>
            <w:hideMark/>
          </w:tcPr>
          <w:p w14:paraId="0DFEB225" w14:textId="29E699FA" w:rsidR="003A4238" w:rsidRPr="008C3457" w:rsidRDefault="003A4238" w:rsidP="00102787">
            <w:pPr>
              <w:jc w:val="right"/>
              <w:rPr>
                <w:color w:val="000000"/>
                <w:szCs w:val="22"/>
              </w:rPr>
            </w:pPr>
            <w:r>
              <w:rPr>
                <w:color w:val="000000"/>
                <w:szCs w:val="22"/>
              </w:rPr>
              <w:t>424</w:t>
            </w:r>
          </w:p>
        </w:tc>
      </w:tr>
      <w:tr w:rsidR="003A4238" w:rsidRPr="008C3457" w14:paraId="441A5682" w14:textId="77777777" w:rsidTr="003A4238">
        <w:trPr>
          <w:trHeight w:val="255"/>
        </w:trPr>
        <w:tc>
          <w:tcPr>
            <w:tcW w:w="960" w:type="dxa"/>
            <w:tcBorders>
              <w:top w:val="nil"/>
              <w:left w:val="nil"/>
              <w:bottom w:val="nil"/>
              <w:right w:val="nil"/>
            </w:tcBorders>
            <w:shd w:val="clear" w:color="auto" w:fill="auto"/>
            <w:noWrap/>
            <w:vAlign w:val="bottom"/>
            <w:hideMark/>
          </w:tcPr>
          <w:p w14:paraId="78E7225F" w14:textId="77777777" w:rsidR="003A4238" w:rsidRPr="008C3457" w:rsidRDefault="003A4238">
            <w:pPr>
              <w:jc w:val="center"/>
              <w:rPr>
                <w:color w:val="000000"/>
                <w:szCs w:val="22"/>
              </w:rPr>
            </w:pPr>
            <w:r>
              <w:rPr>
                <w:color w:val="000000"/>
                <w:szCs w:val="22"/>
              </w:rPr>
              <w:t>2016</w:t>
            </w:r>
          </w:p>
        </w:tc>
        <w:tc>
          <w:tcPr>
            <w:tcW w:w="500" w:type="dxa"/>
            <w:tcBorders>
              <w:top w:val="nil"/>
              <w:left w:val="nil"/>
              <w:bottom w:val="nil"/>
              <w:right w:val="nil"/>
            </w:tcBorders>
            <w:shd w:val="clear" w:color="auto" w:fill="auto"/>
            <w:noWrap/>
            <w:vAlign w:val="bottom"/>
            <w:hideMark/>
          </w:tcPr>
          <w:p w14:paraId="561E7F09" w14:textId="77777777" w:rsidR="003A4238" w:rsidRPr="008C3457" w:rsidRDefault="003A4238">
            <w:pPr>
              <w:rPr>
                <w:color w:val="000000"/>
                <w:szCs w:val="22"/>
              </w:rPr>
            </w:pPr>
          </w:p>
        </w:tc>
        <w:tc>
          <w:tcPr>
            <w:tcW w:w="1005" w:type="dxa"/>
            <w:tcBorders>
              <w:top w:val="nil"/>
              <w:left w:val="nil"/>
              <w:bottom w:val="nil"/>
              <w:right w:val="nil"/>
            </w:tcBorders>
            <w:shd w:val="clear" w:color="auto" w:fill="auto"/>
            <w:noWrap/>
            <w:vAlign w:val="bottom"/>
            <w:hideMark/>
          </w:tcPr>
          <w:p w14:paraId="6AFC6518" w14:textId="759B5088" w:rsidR="003A4238" w:rsidRPr="008C3457" w:rsidRDefault="003A4238">
            <w:pPr>
              <w:jc w:val="right"/>
              <w:rPr>
                <w:color w:val="000000"/>
                <w:szCs w:val="22"/>
              </w:rPr>
            </w:pPr>
            <w:r>
              <w:rPr>
                <w:color w:val="000000"/>
                <w:szCs w:val="22"/>
              </w:rPr>
              <w:t>5 569</w:t>
            </w:r>
          </w:p>
        </w:tc>
        <w:tc>
          <w:tcPr>
            <w:tcW w:w="1042" w:type="dxa"/>
            <w:tcBorders>
              <w:top w:val="nil"/>
              <w:left w:val="nil"/>
              <w:bottom w:val="nil"/>
              <w:right w:val="nil"/>
            </w:tcBorders>
            <w:shd w:val="clear" w:color="auto" w:fill="auto"/>
            <w:noWrap/>
            <w:vAlign w:val="bottom"/>
            <w:hideMark/>
          </w:tcPr>
          <w:p w14:paraId="6FBF27FA" w14:textId="747128BB" w:rsidR="003A4238" w:rsidRPr="008C3457" w:rsidRDefault="003A4238">
            <w:pPr>
              <w:jc w:val="right"/>
              <w:rPr>
                <w:color w:val="000000"/>
                <w:szCs w:val="22"/>
              </w:rPr>
            </w:pPr>
            <w:r>
              <w:rPr>
                <w:color w:val="000000"/>
                <w:szCs w:val="22"/>
              </w:rPr>
              <w:t>3 610</w:t>
            </w:r>
          </w:p>
        </w:tc>
        <w:tc>
          <w:tcPr>
            <w:tcW w:w="1460" w:type="dxa"/>
            <w:tcBorders>
              <w:top w:val="nil"/>
              <w:left w:val="nil"/>
              <w:bottom w:val="nil"/>
              <w:right w:val="nil"/>
            </w:tcBorders>
            <w:shd w:val="clear" w:color="auto" w:fill="auto"/>
            <w:noWrap/>
            <w:vAlign w:val="bottom"/>
            <w:hideMark/>
          </w:tcPr>
          <w:p w14:paraId="136D8EFE" w14:textId="7C7548C0" w:rsidR="003A4238" w:rsidRPr="008C3457" w:rsidRDefault="003A4238">
            <w:pPr>
              <w:jc w:val="right"/>
              <w:rPr>
                <w:color w:val="000000"/>
                <w:szCs w:val="22"/>
              </w:rPr>
            </w:pPr>
            <w:r>
              <w:rPr>
                <w:color w:val="000000"/>
                <w:szCs w:val="22"/>
              </w:rPr>
              <w:t>5 811</w:t>
            </w:r>
          </w:p>
        </w:tc>
        <w:tc>
          <w:tcPr>
            <w:tcW w:w="272" w:type="dxa"/>
            <w:tcBorders>
              <w:top w:val="nil"/>
              <w:left w:val="nil"/>
              <w:bottom w:val="nil"/>
              <w:right w:val="nil"/>
            </w:tcBorders>
            <w:shd w:val="clear" w:color="auto" w:fill="auto"/>
            <w:noWrap/>
            <w:vAlign w:val="bottom"/>
            <w:hideMark/>
          </w:tcPr>
          <w:p w14:paraId="6D1372C6" w14:textId="77777777" w:rsidR="003A4238" w:rsidRPr="008C3457" w:rsidRDefault="003A4238">
            <w:pPr>
              <w:rPr>
                <w:color w:val="000000"/>
                <w:szCs w:val="22"/>
              </w:rPr>
            </w:pPr>
          </w:p>
        </w:tc>
        <w:tc>
          <w:tcPr>
            <w:tcW w:w="1326" w:type="dxa"/>
            <w:tcBorders>
              <w:top w:val="nil"/>
              <w:left w:val="nil"/>
              <w:bottom w:val="nil"/>
              <w:right w:val="nil"/>
            </w:tcBorders>
            <w:shd w:val="clear" w:color="auto" w:fill="auto"/>
            <w:noWrap/>
            <w:vAlign w:val="bottom"/>
            <w:hideMark/>
          </w:tcPr>
          <w:p w14:paraId="1E27013B" w14:textId="712A9B59" w:rsidR="003A4238" w:rsidRPr="008C3457" w:rsidRDefault="003A4238">
            <w:pPr>
              <w:jc w:val="right"/>
              <w:rPr>
                <w:color w:val="000000"/>
                <w:szCs w:val="22"/>
              </w:rPr>
            </w:pPr>
            <w:r>
              <w:rPr>
                <w:color w:val="000000"/>
                <w:szCs w:val="22"/>
              </w:rPr>
              <w:t>4 997</w:t>
            </w:r>
          </w:p>
        </w:tc>
        <w:tc>
          <w:tcPr>
            <w:tcW w:w="740" w:type="dxa"/>
            <w:tcBorders>
              <w:top w:val="nil"/>
              <w:left w:val="nil"/>
              <w:bottom w:val="nil"/>
              <w:right w:val="nil"/>
            </w:tcBorders>
            <w:shd w:val="clear" w:color="auto" w:fill="auto"/>
            <w:noWrap/>
            <w:vAlign w:val="bottom"/>
            <w:hideMark/>
          </w:tcPr>
          <w:p w14:paraId="5966EC1B" w14:textId="77777777" w:rsidR="003A4238" w:rsidRPr="008C3457" w:rsidRDefault="003A4238">
            <w:pPr>
              <w:rPr>
                <w:color w:val="000000"/>
                <w:szCs w:val="22"/>
              </w:rPr>
            </w:pPr>
          </w:p>
        </w:tc>
        <w:tc>
          <w:tcPr>
            <w:tcW w:w="1530" w:type="dxa"/>
            <w:tcBorders>
              <w:top w:val="nil"/>
              <w:left w:val="nil"/>
              <w:bottom w:val="nil"/>
              <w:right w:val="nil"/>
            </w:tcBorders>
            <w:shd w:val="clear" w:color="auto" w:fill="auto"/>
            <w:noWrap/>
            <w:vAlign w:val="bottom"/>
            <w:hideMark/>
          </w:tcPr>
          <w:p w14:paraId="3415D1B2" w14:textId="0EADCCF0" w:rsidR="003A4238" w:rsidRPr="008C3457" w:rsidRDefault="003A4238" w:rsidP="00102787">
            <w:pPr>
              <w:jc w:val="right"/>
              <w:rPr>
                <w:color w:val="000000"/>
                <w:szCs w:val="22"/>
              </w:rPr>
            </w:pPr>
            <w:r>
              <w:rPr>
                <w:color w:val="000000"/>
                <w:szCs w:val="22"/>
              </w:rPr>
              <w:t>300</w:t>
            </w:r>
          </w:p>
        </w:tc>
      </w:tr>
      <w:tr w:rsidR="003A4238" w:rsidRPr="008C3457" w14:paraId="79675A36" w14:textId="77777777" w:rsidTr="003A4238">
        <w:trPr>
          <w:trHeight w:val="255"/>
        </w:trPr>
        <w:tc>
          <w:tcPr>
            <w:tcW w:w="960" w:type="dxa"/>
            <w:tcBorders>
              <w:top w:val="nil"/>
              <w:left w:val="nil"/>
              <w:bottom w:val="nil"/>
              <w:right w:val="nil"/>
            </w:tcBorders>
            <w:shd w:val="clear" w:color="auto" w:fill="auto"/>
            <w:noWrap/>
            <w:vAlign w:val="bottom"/>
            <w:hideMark/>
          </w:tcPr>
          <w:p w14:paraId="41757F96" w14:textId="77777777" w:rsidR="003A4238" w:rsidRPr="008C3457" w:rsidRDefault="003A4238">
            <w:pPr>
              <w:jc w:val="center"/>
              <w:rPr>
                <w:color w:val="000000"/>
                <w:szCs w:val="22"/>
              </w:rPr>
            </w:pPr>
            <w:r>
              <w:rPr>
                <w:color w:val="000000"/>
                <w:szCs w:val="22"/>
              </w:rPr>
              <w:t>2017</w:t>
            </w:r>
          </w:p>
        </w:tc>
        <w:tc>
          <w:tcPr>
            <w:tcW w:w="500" w:type="dxa"/>
            <w:tcBorders>
              <w:top w:val="nil"/>
              <w:left w:val="nil"/>
              <w:bottom w:val="nil"/>
              <w:right w:val="nil"/>
            </w:tcBorders>
            <w:shd w:val="clear" w:color="auto" w:fill="auto"/>
            <w:noWrap/>
            <w:vAlign w:val="bottom"/>
            <w:hideMark/>
          </w:tcPr>
          <w:p w14:paraId="53AC6679" w14:textId="5D1FBA85" w:rsidR="003A4238" w:rsidRPr="008C3457" w:rsidRDefault="008C3457">
            <w:pPr>
              <w:rPr>
                <w:color w:val="000000"/>
                <w:szCs w:val="22"/>
              </w:rPr>
            </w:pPr>
            <w:r>
              <w:rPr>
                <w:color w:val="000000"/>
                <w:szCs w:val="22"/>
              </w:rPr>
              <w:t xml:space="preserve"> </w:t>
            </w:r>
          </w:p>
        </w:tc>
        <w:tc>
          <w:tcPr>
            <w:tcW w:w="1005" w:type="dxa"/>
            <w:tcBorders>
              <w:top w:val="nil"/>
              <w:left w:val="nil"/>
              <w:bottom w:val="nil"/>
              <w:right w:val="nil"/>
            </w:tcBorders>
            <w:shd w:val="clear" w:color="auto" w:fill="auto"/>
            <w:noWrap/>
            <w:vAlign w:val="bottom"/>
            <w:hideMark/>
          </w:tcPr>
          <w:p w14:paraId="17E406A7" w14:textId="626D59B4" w:rsidR="003A4238" w:rsidRPr="008C3457" w:rsidRDefault="003A4238">
            <w:pPr>
              <w:jc w:val="right"/>
              <w:rPr>
                <w:color w:val="000000"/>
                <w:szCs w:val="22"/>
              </w:rPr>
            </w:pPr>
            <w:r>
              <w:rPr>
                <w:color w:val="000000"/>
                <w:szCs w:val="22"/>
              </w:rPr>
              <w:t>1 104</w:t>
            </w:r>
          </w:p>
        </w:tc>
        <w:tc>
          <w:tcPr>
            <w:tcW w:w="1042" w:type="dxa"/>
            <w:tcBorders>
              <w:top w:val="nil"/>
              <w:left w:val="nil"/>
              <w:bottom w:val="nil"/>
              <w:right w:val="nil"/>
            </w:tcBorders>
            <w:shd w:val="clear" w:color="auto" w:fill="auto"/>
            <w:noWrap/>
            <w:vAlign w:val="bottom"/>
            <w:hideMark/>
          </w:tcPr>
          <w:p w14:paraId="21DFEE37" w14:textId="34347E07" w:rsidR="003A4238" w:rsidRPr="008C3457" w:rsidRDefault="003A4238">
            <w:pPr>
              <w:jc w:val="right"/>
              <w:rPr>
                <w:color w:val="000000"/>
                <w:szCs w:val="22"/>
              </w:rPr>
            </w:pPr>
            <w:r>
              <w:rPr>
                <w:color w:val="000000"/>
                <w:szCs w:val="22"/>
              </w:rPr>
              <w:t>2 819</w:t>
            </w:r>
          </w:p>
        </w:tc>
        <w:tc>
          <w:tcPr>
            <w:tcW w:w="1460" w:type="dxa"/>
            <w:tcBorders>
              <w:top w:val="nil"/>
              <w:left w:val="nil"/>
              <w:bottom w:val="nil"/>
              <w:right w:val="nil"/>
            </w:tcBorders>
            <w:shd w:val="clear" w:color="auto" w:fill="auto"/>
            <w:noWrap/>
            <w:vAlign w:val="bottom"/>
            <w:hideMark/>
          </w:tcPr>
          <w:p w14:paraId="26C27AA4" w14:textId="3A74FBAA" w:rsidR="003A4238" w:rsidRPr="008C3457" w:rsidRDefault="003A4238">
            <w:pPr>
              <w:jc w:val="right"/>
              <w:rPr>
                <w:color w:val="000000"/>
                <w:szCs w:val="22"/>
              </w:rPr>
            </w:pPr>
            <w:r>
              <w:rPr>
                <w:color w:val="000000"/>
                <w:szCs w:val="22"/>
              </w:rPr>
              <w:t>5 432</w:t>
            </w:r>
          </w:p>
        </w:tc>
        <w:tc>
          <w:tcPr>
            <w:tcW w:w="272" w:type="dxa"/>
            <w:tcBorders>
              <w:top w:val="nil"/>
              <w:left w:val="nil"/>
              <w:bottom w:val="nil"/>
              <w:right w:val="nil"/>
            </w:tcBorders>
            <w:shd w:val="clear" w:color="auto" w:fill="auto"/>
            <w:noWrap/>
            <w:vAlign w:val="bottom"/>
            <w:hideMark/>
          </w:tcPr>
          <w:p w14:paraId="0DE7A412" w14:textId="2453BD4A" w:rsidR="003A4238" w:rsidRPr="008C3457" w:rsidRDefault="008C3457">
            <w:pPr>
              <w:rPr>
                <w:color w:val="000000"/>
                <w:szCs w:val="22"/>
              </w:rPr>
            </w:pPr>
            <w:r>
              <w:rPr>
                <w:color w:val="000000"/>
                <w:szCs w:val="22"/>
              </w:rPr>
              <w:t xml:space="preserve"> </w:t>
            </w:r>
          </w:p>
        </w:tc>
        <w:tc>
          <w:tcPr>
            <w:tcW w:w="1326" w:type="dxa"/>
            <w:tcBorders>
              <w:top w:val="nil"/>
              <w:left w:val="nil"/>
              <w:bottom w:val="nil"/>
              <w:right w:val="nil"/>
            </w:tcBorders>
            <w:shd w:val="clear" w:color="auto" w:fill="auto"/>
            <w:noWrap/>
            <w:vAlign w:val="bottom"/>
            <w:hideMark/>
          </w:tcPr>
          <w:p w14:paraId="0A8E0CC0" w14:textId="0A968FF5" w:rsidR="003A4238" w:rsidRPr="008C3457" w:rsidRDefault="003A4238">
            <w:pPr>
              <w:jc w:val="right"/>
              <w:rPr>
                <w:color w:val="000000"/>
                <w:szCs w:val="22"/>
              </w:rPr>
            </w:pPr>
            <w:r>
              <w:rPr>
                <w:color w:val="000000"/>
                <w:szCs w:val="22"/>
              </w:rPr>
              <w:t>3 118</w:t>
            </w:r>
          </w:p>
        </w:tc>
        <w:tc>
          <w:tcPr>
            <w:tcW w:w="740" w:type="dxa"/>
            <w:tcBorders>
              <w:top w:val="nil"/>
              <w:left w:val="nil"/>
              <w:bottom w:val="nil"/>
              <w:right w:val="nil"/>
            </w:tcBorders>
            <w:shd w:val="clear" w:color="auto" w:fill="auto"/>
            <w:noWrap/>
            <w:vAlign w:val="bottom"/>
            <w:hideMark/>
          </w:tcPr>
          <w:p w14:paraId="068BDCCC" w14:textId="5B392616" w:rsidR="003A4238" w:rsidRPr="008C3457" w:rsidRDefault="008C3457">
            <w:pPr>
              <w:rPr>
                <w:color w:val="000000"/>
                <w:szCs w:val="22"/>
              </w:rPr>
            </w:pPr>
            <w:r>
              <w:rPr>
                <w:color w:val="000000"/>
                <w:szCs w:val="22"/>
              </w:rPr>
              <w:t xml:space="preserve"> </w:t>
            </w:r>
          </w:p>
        </w:tc>
        <w:tc>
          <w:tcPr>
            <w:tcW w:w="1530" w:type="dxa"/>
            <w:tcBorders>
              <w:top w:val="nil"/>
              <w:left w:val="nil"/>
              <w:bottom w:val="nil"/>
              <w:right w:val="nil"/>
            </w:tcBorders>
            <w:shd w:val="clear" w:color="auto" w:fill="auto"/>
            <w:noWrap/>
            <w:vAlign w:val="bottom"/>
            <w:hideMark/>
          </w:tcPr>
          <w:p w14:paraId="7018905E" w14:textId="3C9BC0BF" w:rsidR="003A4238" w:rsidRPr="008C3457" w:rsidRDefault="003A4238" w:rsidP="00102787">
            <w:pPr>
              <w:jc w:val="right"/>
              <w:rPr>
                <w:color w:val="000000"/>
                <w:szCs w:val="22"/>
              </w:rPr>
            </w:pPr>
            <w:r>
              <w:rPr>
                <w:color w:val="000000"/>
                <w:szCs w:val="22"/>
              </w:rPr>
              <w:t>187</w:t>
            </w:r>
          </w:p>
        </w:tc>
      </w:tr>
      <w:tr w:rsidR="003A4238" w:rsidRPr="008C3457" w14:paraId="07EAC768" w14:textId="77777777" w:rsidTr="00733EBA">
        <w:trPr>
          <w:trHeight w:val="255"/>
        </w:trPr>
        <w:tc>
          <w:tcPr>
            <w:tcW w:w="960" w:type="dxa"/>
            <w:tcBorders>
              <w:top w:val="nil"/>
              <w:left w:val="nil"/>
              <w:bottom w:val="nil"/>
              <w:right w:val="nil"/>
            </w:tcBorders>
            <w:shd w:val="clear" w:color="auto" w:fill="auto"/>
            <w:noWrap/>
            <w:vAlign w:val="bottom"/>
          </w:tcPr>
          <w:p w14:paraId="298431ED" w14:textId="58365E96" w:rsidR="003A4238" w:rsidRPr="008C3457" w:rsidRDefault="003A4238" w:rsidP="00CC13C3">
            <w:pPr>
              <w:jc w:val="center"/>
              <w:rPr>
                <w:color w:val="000000"/>
                <w:szCs w:val="22"/>
              </w:rPr>
            </w:pPr>
            <w:r>
              <w:rPr>
                <w:color w:val="000000"/>
                <w:szCs w:val="22"/>
              </w:rPr>
              <w:t>2018</w:t>
            </w:r>
          </w:p>
        </w:tc>
        <w:tc>
          <w:tcPr>
            <w:tcW w:w="500" w:type="dxa"/>
            <w:tcBorders>
              <w:top w:val="nil"/>
              <w:left w:val="nil"/>
              <w:bottom w:val="nil"/>
              <w:right w:val="nil"/>
            </w:tcBorders>
            <w:shd w:val="clear" w:color="auto" w:fill="auto"/>
            <w:noWrap/>
            <w:vAlign w:val="bottom"/>
          </w:tcPr>
          <w:p w14:paraId="4F7C2025" w14:textId="0149BA7C" w:rsidR="003A4238" w:rsidRPr="008C3457" w:rsidRDefault="008C3457">
            <w:pPr>
              <w:rPr>
                <w:color w:val="000000"/>
                <w:szCs w:val="22"/>
              </w:rPr>
            </w:pPr>
            <w:r>
              <w:rPr>
                <w:color w:val="000000"/>
                <w:szCs w:val="22"/>
              </w:rPr>
              <w:t xml:space="preserve"> </w:t>
            </w:r>
          </w:p>
        </w:tc>
        <w:tc>
          <w:tcPr>
            <w:tcW w:w="1005" w:type="dxa"/>
            <w:tcBorders>
              <w:top w:val="nil"/>
              <w:left w:val="nil"/>
              <w:bottom w:val="nil"/>
              <w:right w:val="nil"/>
            </w:tcBorders>
            <w:shd w:val="clear" w:color="auto" w:fill="auto"/>
            <w:noWrap/>
            <w:vAlign w:val="bottom"/>
          </w:tcPr>
          <w:p w14:paraId="67EA1D7B" w14:textId="11656168" w:rsidR="003A4238" w:rsidRPr="008C3457" w:rsidRDefault="003A4238">
            <w:pPr>
              <w:jc w:val="right"/>
              <w:rPr>
                <w:color w:val="000000"/>
                <w:szCs w:val="22"/>
              </w:rPr>
            </w:pPr>
            <w:r>
              <w:rPr>
                <w:color w:val="000000"/>
                <w:szCs w:val="22"/>
              </w:rPr>
              <w:t>812</w:t>
            </w:r>
          </w:p>
        </w:tc>
        <w:tc>
          <w:tcPr>
            <w:tcW w:w="1042" w:type="dxa"/>
            <w:tcBorders>
              <w:top w:val="nil"/>
              <w:left w:val="nil"/>
              <w:bottom w:val="nil"/>
              <w:right w:val="nil"/>
            </w:tcBorders>
            <w:shd w:val="clear" w:color="auto" w:fill="auto"/>
            <w:noWrap/>
            <w:vAlign w:val="bottom"/>
          </w:tcPr>
          <w:p w14:paraId="1B79E30F" w14:textId="4C743CC7" w:rsidR="003A4238" w:rsidRPr="008C3457" w:rsidRDefault="003A4238">
            <w:pPr>
              <w:jc w:val="right"/>
              <w:rPr>
                <w:color w:val="000000"/>
                <w:szCs w:val="22"/>
              </w:rPr>
            </w:pPr>
            <w:r>
              <w:rPr>
                <w:color w:val="000000"/>
                <w:szCs w:val="22"/>
              </w:rPr>
              <w:t>143</w:t>
            </w:r>
          </w:p>
        </w:tc>
        <w:tc>
          <w:tcPr>
            <w:tcW w:w="1460" w:type="dxa"/>
            <w:tcBorders>
              <w:top w:val="nil"/>
              <w:left w:val="nil"/>
              <w:bottom w:val="nil"/>
              <w:right w:val="nil"/>
            </w:tcBorders>
            <w:shd w:val="clear" w:color="auto" w:fill="auto"/>
            <w:noWrap/>
            <w:vAlign w:val="bottom"/>
          </w:tcPr>
          <w:p w14:paraId="2E087517" w14:textId="3E7D8A6C" w:rsidR="003A4238" w:rsidRPr="008C3457" w:rsidRDefault="003A4238" w:rsidP="00CC13C3">
            <w:pPr>
              <w:jc w:val="right"/>
              <w:rPr>
                <w:color w:val="000000"/>
                <w:szCs w:val="22"/>
              </w:rPr>
            </w:pPr>
            <w:r>
              <w:rPr>
                <w:color w:val="000000"/>
                <w:szCs w:val="22"/>
              </w:rPr>
              <w:t>2 424</w:t>
            </w:r>
          </w:p>
        </w:tc>
        <w:tc>
          <w:tcPr>
            <w:tcW w:w="272" w:type="dxa"/>
            <w:tcBorders>
              <w:top w:val="nil"/>
              <w:left w:val="nil"/>
              <w:bottom w:val="nil"/>
              <w:right w:val="nil"/>
            </w:tcBorders>
            <w:shd w:val="clear" w:color="auto" w:fill="auto"/>
            <w:noWrap/>
            <w:vAlign w:val="bottom"/>
          </w:tcPr>
          <w:p w14:paraId="1580C781" w14:textId="519C95C4" w:rsidR="003A4238" w:rsidRPr="008C3457" w:rsidRDefault="008C3457">
            <w:pPr>
              <w:rPr>
                <w:color w:val="000000"/>
                <w:szCs w:val="22"/>
              </w:rPr>
            </w:pPr>
            <w:r>
              <w:rPr>
                <w:color w:val="000000"/>
                <w:szCs w:val="22"/>
              </w:rPr>
              <w:t xml:space="preserve"> </w:t>
            </w:r>
          </w:p>
        </w:tc>
        <w:tc>
          <w:tcPr>
            <w:tcW w:w="1326" w:type="dxa"/>
            <w:tcBorders>
              <w:top w:val="nil"/>
              <w:left w:val="nil"/>
              <w:bottom w:val="nil"/>
              <w:right w:val="nil"/>
            </w:tcBorders>
            <w:shd w:val="clear" w:color="auto" w:fill="auto"/>
            <w:noWrap/>
            <w:vAlign w:val="bottom"/>
          </w:tcPr>
          <w:p w14:paraId="087252AB" w14:textId="113DE9E4" w:rsidR="003A4238" w:rsidRPr="008C3457" w:rsidRDefault="003A4238" w:rsidP="00CC13C3">
            <w:pPr>
              <w:jc w:val="right"/>
              <w:rPr>
                <w:color w:val="000000"/>
                <w:szCs w:val="22"/>
              </w:rPr>
            </w:pPr>
            <w:r>
              <w:rPr>
                <w:color w:val="000000"/>
                <w:szCs w:val="22"/>
              </w:rPr>
              <w:t>1 126</w:t>
            </w:r>
          </w:p>
        </w:tc>
        <w:tc>
          <w:tcPr>
            <w:tcW w:w="740" w:type="dxa"/>
            <w:tcBorders>
              <w:top w:val="nil"/>
              <w:left w:val="nil"/>
              <w:bottom w:val="nil"/>
              <w:right w:val="nil"/>
            </w:tcBorders>
            <w:shd w:val="clear" w:color="auto" w:fill="auto"/>
            <w:noWrap/>
            <w:vAlign w:val="bottom"/>
          </w:tcPr>
          <w:p w14:paraId="24DA2371" w14:textId="179A8275" w:rsidR="003A4238" w:rsidRPr="008C3457" w:rsidRDefault="008C3457">
            <w:pPr>
              <w:rPr>
                <w:color w:val="000000"/>
                <w:szCs w:val="22"/>
              </w:rPr>
            </w:pPr>
            <w:r>
              <w:rPr>
                <w:color w:val="000000"/>
                <w:szCs w:val="22"/>
              </w:rPr>
              <w:t xml:space="preserve"> </w:t>
            </w:r>
          </w:p>
        </w:tc>
        <w:tc>
          <w:tcPr>
            <w:tcW w:w="1530" w:type="dxa"/>
            <w:tcBorders>
              <w:top w:val="nil"/>
              <w:left w:val="nil"/>
              <w:bottom w:val="nil"/>
              <w:right w:val="nil"/>
            </w:tcBorders>
            <w:shd w:val="clear" w:color="auto" w:fill="auto"/>
            <w:noWrap/>
            <w:vAlign w:val="bottom"/>
          </w:tcPr>
          <w:p w14:paraId="788B0279" w14:textId="31CB560C" w:rsidR="003A4238" w:rsidRPr="008C3457" w:rsidRDefault="003A4238" w:rsidP="00102787">
            <w:pPr>
              <w:jc w:val="right"/>
              <w:rPr>
                <w:color w:val="000000"/>
                <w:szCs w:val="22"/>
              </w:rPr>
            </w:pPr>
            <w:r>
              <w:rPr>
                <w:color w:val="000000"/>
                <w:szCs w:val="22"/>
              </w:rPr>
              <w:t>68</w:t>
            </w:r>
          </w:p>
        </w:tc>
      </w:tr>
      <w:tr w:rsidR="00733EBA" w:rsidRPr="008C3457" w14:paraId="4FFEA209" w14:textId="77777777" w:rsidTr="003A4238">
        <w:trPr>
          <w:trHeight w:val="255"/>
        </w:trPr>
        <w:tc>
          <w:tcPr>
            <w:tcW w:w="960" w:type="dxa"/>
            <w:tcBorders>
              <w:top w:val="nil"/>
              <w:left w:val="nil"/>
              <w:bottom w:val="single" w:sz="4" w:space="0" w:color="auto"/>
              <w:right w:val="nil"/>
            </w:tcBorders>
            <w:shd w:val="clear" w:color="auto" w:fill="auto"/>
            <w:noWrap/>
            <w:vAlign w:val="bottom"/>
          </w:tcPr>
          <w:p w14:paraId="58581649" w14:textId="769B1426" w:rsidR="00733EBA" w:rsidRPr="008C3457" w:rsidRDefault="00733EBA" w:rsidP="00CC13C3">
            <w:pPr>
              <w:jc w:val="center"/>
              <w:rPr>
                <w:color w:val="000000"/>
                <w:szCs w:val="22"/>
              </w:rPr>
            </w:pPr>
            <w:r>
              <w:rPr>
                <w:color w:val="000000"/>
                <w:szCs w:val="22"/>
              </w:rPr>
              <w:t>2019</w:t>
            </w:r>
          </w:p>
        </w:tc>
        <w:tc>
          <w:tcPr>
            <w:tcW w:w="500" w:type="dxa"/>
            <w:tcBorders>
              <w:top w:val="nil"/>
              <w:left w:val="nil"/>
              <w:bottom w:val="single" w:sz="4" w:space="0" w:color="auto"/>
              <w:right w:val="nil"/>
            </w:tcBorders>
            <w:shd w:val="clear" w:color="auto" w:fill="auto"/>
            <w:noWrap/>
            <w:vAlign w:val="bottom"/>
          </w:tcPr>
          <w:p w14:paraId="465BC908" w14:textId="77777777" w:rsidR="00733EBA" w:rsidRPr="008C3457" w:rsidRDefault="00733EBA">
            <w:pPr>
              <w:rPr>
                <w:color w:val="000000"/>
                <w:szCs w:val="22"/>
              </w:rPr>
            </w:pPr>
          </w:p>
        </w:tc>
        <w:tc>
          <w:tcPr>
            <w:tcW w:w="1005" w:type="dxa"/>
            <w:tcBorders>
              <w:top w:val="nil"/>
              <w:left w:val="nil"/>
              <w:bottom w:val="single" w:sz="4" w:space="0" w:color="auto"/>
              <w:right w:val="nil"/>
            </w:tcBorders>
            <w:shd w:val="clear" w:color="auto" w:fill="auto"/>
            <w:noWrap/>
            <w:vAlign w:val="bottom"/>
          </w:tcPr>
          <w:p w14:paraId="4A3C21EE" w14:textId="3660F0B0" w:rsidR="00733EBA" w:rsidRPr="008C3457" w:rsidRDefault="00733EBA">
            <w:pPr>
              <w:jc w:val="right"/>
              <w:rPr>
                <w:color w:val="000000"/>
                <w:szCs w:val="22"/>
              </w:rPr>
            </w:pPr>
            <w:r>
              <w:rPr>
                <w:color w:val="000000"/>
                <w:szCs w:val="22"/>
              </w:rPr>
              <w:t>182</w:t>
            </w:r>
          </w:p>
        </w:tc>
        <w:tc>
          <w:tcPr>
            <w:tcW w:w="1042" w:type="dxa"/>
            <w:tcBorders>
              <w:top w:val="nil"/>
              <w:left w:val="nil"/>
              <w:bottom w:val="single" w:sz="4" w:space="0" w:color="auto"/>
              <w:right w:val="nil"/>
            </w:tcBorders>
            <w:shd w:val="clear" w:color="auto" w:fill="auto"/>
            <w:noWrap/>
            <w:vAlign w:val="bottom"/>
          </w:tcPr>
          <w:p w14:paraId="7FEE821F" w14:textId="3FFE6595" w:rsidR="00733EBA" w:rsidRPr="008C3457" w:rsidRDefault="00733EBA">
            <w:pPr>
              <w:jc w:val="right"/>
              <w:rPr>
                <w:color w:val="000000"/>
                <w:szCs w:val="22"/>
              </w:rPr>
            </w:pPr>
            <w:r>
              <w:rPr>
                <w:color w:val="000000"/>
                <w:szCs w:val="22"/>
              </w:rPr>
              <w:t>3 735</w:t>
            </w:r>
          </w:p>
        </w:tc>
        <w:tc>
          <w:tcPr>
            <w:tcW w:w="1460" w:type="dxa"/>
            <w:tcBorders>
              <w:top w:val="nil"/>
              <w:left w:val="nil"/>
              <w:bottom w:val="single" w:sz="4" w:space="0" w:color="auto"/>
              <w:right w:val="nil"/>
            </w:tcBorders>
            <w:shd w:val="clear" w:color="auto" w:fill="auto"/>
            <w:noWrap/>
            <w:vAlign w:val="bottom"/>
          </w:tcPr>
          <w:p w14:paraId="7C02D738" w14:textId="1D8BD036" w:rsidR="00733EBA" w:rsidRPr="008C3457" w:rsidRDefault="00733EBA" w:rsidP="00CC13C3">
            <w:pPr>
              <w:jc w:val="right"/>
              <w:rPr>
                <w:color w:val="000000"/>
                <w:szCs w:val="22"/>
              </w:rPr>
            </w:pPr>
            <w:r>
              <w:rPr>
                <w:color w:val="000000"/>
                <w:szCs w:val="22"/>
              </w:rPr>
              <w:t>6 047</w:t>
            </w:r>
          </w:p>
        </w:tc>
        <w:tc>
          <w:tcPr>
            <w:tcW w:w="272" w:type="dxa"/>
            <w:tcBorders>
              <w:top w:val="nil"/>
              <w:left w:val="nil"/>
              <w:bottom w:val="single" w:sz="4" w:space="0" w:color="auto"/>
              <w:right w:val="nil"/>
            </w:tcBorders>
            <w:shd w:val="clear" w:color="auto" w:fill="auto"/>
            <w:noWrap/>
            <w:vAlign w:val="bottom"/>
          </w:tcPr>
          <w:p w14:paraId="14077835" w14:textId="77777777" w:rsidR="00733EBA" w:rsidRPr="008C3457" w:rsidRDefault="00733EBA">
            <w:pPr>
              <w:rPr>
                <w:color w:val="000000"/>
                <w:szCs w:val="22"/>
              </w:rPr>
            </w:pPr>
          </w:p>
        </w:tc>
        <w:tc>
          <w:tcPr>
            <w:tcW w:w="1326" w:type="dxa"/>
            <w:tcBorders>
              <w:top w:val="nil"/>
              <w:left w:val="nil"/>
              <w:bottom w:val="single" w:sz="4" w:space="0" w:color="auto"/>
              <w:right w:val="nil"/>
            </w:tcBorders>
            <w:shd w:val="clear" w:color="auto" w:fill="auto"/>
            <w:noWrap/>
            <w:vAlign w:val="bottom"/>
          </w:tcPr>
          <w:p w14:paraId="7D9B3C47" w14:textId="17BF5B3F" w:rsidR="00733EBA" w:rsidRPr="008C3457" w:rsidRDefault="00733EBA" w:rsidP="00CC13C3">
            <w:pPr>
              <w:jc w:val="right"/>
              <w:rPr>
                <w:color w:val="000000"/>
                <w:szCs w:val="22"/>
              </w:rPr>
            </w:pPr>
            <w:r>
              <w:rPr>
                <w:color w:val="000000"/>
                <w:szCs w:val="22"/>
              </w:rPr>
              <w:t>3 322</w:t>
            </w:r>
          </w:p>
        </w:tc>
        <w:tc>
          <w:tcPr>
            <w:tcW w:w="740" w:type="dxa"/>
            <w:tcBorders>
              <w:top w:val="nil"/>
              <w:left w:val="nil"/>
              <w:bottom w:val="single" w:sz="4" w:space="0" w:color="auto"/>
              <w:right w:val="nil"/>
            </w:tcBorders>
            <w:shd w:val="clear" w:color="auto" w:fill="auto"/>
            <w:noWrap/>
            <w:vAlign w:val="bottom"/>
          </w:tcPr>
          <w:p w14:paraId="47646462" w14:textId="77777777" w:rsidR="00733EBA" w:rsidRPr="008C3457" w:rsidRDefault="00733EBA">
            <w:pPr>
              <w:rPr>
                <w:color w:val="000000"/>
                <w:szCs w:val="22"/>
              </w:rPr>
            </w:pPr>
          </w:p>
        </w:tc>
        <w:tc>
          <w:tcPr>
            <w:tcW w:w="1530" w:type="dxa"/>
            <w:tcBorders>
              <w:top w:val="nil"/>
              <w:left w:val="nil"/>
              <w:bottom w:val="single" w:sz="4" w:space="0" w:color="auto"/>
              <w:right w:val="nil"/>
            </w:tcBorders>
            <w:shd w:val="clear" w:color="auto" w:fill="auto"/>
            <w:noWrap/>
            <w:vAlign w:val="bottom"/>
          </w:tcPr>
          <w:p w14:paraId="716BCF5A" w14:textId="231C3922" w:rsidR="00733EBA" w:rsidRPr="008C3457" w:rsidRDefault="00733EBA" w:rsidP="00102787">
            <w:pPr>
              <w:jc w:val="right"/>
              <w:rPr>
                <w:color w:val="000000"/>
                <w:szCs w:val="22"/>
              </w:rPr>
            </w:pPr>
            <w:r>
              <w:rPr>
                <w:color w:val="000000"/>
                <w:szCs w:val="22"/>
              </w:rPr>
              <w:t>199</w:t>
            </w:r>
          </w:p>
        </w:tc>
      </w:tr>
    </w:tbl>
    <w:p w14:paraId="26D0A2BC" w14:textId="57292ECD" w:rsidR="00F25BBE" w:rsidRPr="008C3457" w:rsidRDefault="00F25BBE" w:rsidP="005A142E">
      <w:pPr>
        <w:pStyle w:val="Caption-Table"/>
      </w:pPr>
      <w:r>
        <w:t>Tableau 3. Prises et quotas récents par année et taux d</w:t>
      </w:r>
      <w:r w:rsidR="00D62505">
        <w:t>’</w:t>
      </w:r>
      <w:r>
        <w:t>exploitation correspondants (calculés en divisant par la biomasse moyenne du relevé au tableau 2). (APV = Analyse de la population virtuelle.)</w:t>
      </w:r>
    </w:p>
    <w:tbl>
      <w:tblPr>
        <w:tblW w:w="4991" w:type="pct"/>
        <w:tblLook w:val="04A0" w:firstRow="1" w:lastRow="0" w:firstColumn="1" w:lastColumn="0" w:noHBand="0" w:noVBand="1"/>
        <w:tblDescription w:val="Table 17"/>
      </w:tblPr>
      <w:tblGrid>
        <w:gridCol w:w="1153"/>
        <w:gridCol w:w="1574"/>
        <w:gridCol w:w="1794"/>
        <w:gridCol w:w="1464"/>
        <w:gridCol w:w="1366"/>
        <w:gridCol w:w="1992"/>
      </w:tblGrid>
      <w:tr w:rsidR="005B0FC4" w:rsidRPr="008C3457" w14:paraId="1B5410AE" w14:textId="77777777" w:rsidTr="00A151A3">
        <w:trPr>
          <w:trHeight w:val="20"/>
          <w:tblHeader/>
        </w:trPr>
        <w:tc>
          <w:tcPr>
            <w:tcW w:w="684" w:type="pct"/>
            <w:tcBorders>
              <w:top w:val="single" w:sz="4" w:space="0" w:color="auto"/>
              <w:left w:val="nil"/>
              <w:bottom w:val="single" w:sz="4" w:space="0" w:color="auto"/>
              <w:right w:val="nil"/>
            </w:tcBorders>
            <w:shd w:val="clear" w:color="auto" w:fill="auto"/>
            <w:vAlign w:val="center"/>
            <w:hideMark/>
          </w:tcPr>
          <w:p w14:paraId="3B444EAF" w14:textId="363CC9F8" w:rsidR="005B0FC4" w:rsidRPr="008C3457" w:rsidRDefault="005B0FC4">
            <w:pPr>
              <w:jc w:val="center"/>
              <w:rPr>
                <w:color w:val="000000"/>
                <w:szCs w:val="22"/>
              </w:rPr>
            </w:pPr>
            <w:r>
              <w:rPr>
                <w:color w:val="000000"/>
                <w:szCs w:val="22"/>
              </w:rPr>
              <w:t>Année</w:t>
            </w:r>
          </w:p>
        </w:tc>
        <w:tc>
          <w:tcPr>
            <w:tcW w:w="687" w:type="pct"/>
            <w:tcBorders>
              <w:top w:val="single" w:sz="4" w:space="0" w:color="auto"/>
              <w:left w:val="nil"/>
              <w:bottom w:val="single" w:sz="4" w:space="0" w:color="auto"/>
              <w:right w:val="nil"/>
            </w:tcBorders>
            <w:shd w:val="clear" w:color="auto" w:fill="auto"/>
            <w:noWrap/>
            <w:vAlign w:val="center"/>
            <w:hideMark/>
          </w:tcPr>
          <w:p w14:paraId="468B6F42" w14:textId="77777777" w:rsidR="005B0FC4" w:rsidRPr="008C3457" w:rsidRDefault="005B0FC4">
            <w:pPr>
              <w:jc w:val="center"/>
              <w:rPr>
                <w:color w:val="000000"/>
                <w:szCs w:val="22"/>
              </w:rPr>
            </w:pPr>
            <w:r>
              <w:rPr>
                <w:color w:val="000000"/>
                <w:szCs w:val="22"/>
              </w:rPr>
              <w:t>Quota (en tm)</w:t>
            </w:r>
          </w:p>
        </w:tc>
        <w:tc>
          <w:tcPr>
            <w:tcW w:w="1027" w:type="pct"/>
            <w:tcBorders>
              <w:top w:val="single" w:sz="4" w:space="0" w:color="auto"/>
              <w:left w:val="nil"/>
              <w:bottom w:val="single" w:sz="4" w:space="0" w:color="auto"/>
              <w:right w:val="nil"/>
            </w:tcBorders>
            <w:shd w:val="clear" w:color="auto" w:fill="auto"/>
            <w:vAlign w:val="center"/>
            <w:hideMark/>
          </w:tcPr>
          <w:p w14:paraId="6E380F17" w14:textId="77777777" w:rsidR="005B0FC4" w:rsidRPr="008C3457" w:rsidRDefault="005B0FC4">
            <w:pPr>
              <w:jc w:val="center"/>
              <w:rPr>
                <w:color w:val="000000"/>
                <w:szCs w:val="22"/>
              </w:rPr>
            </w:pPr>
            <w:r>
              <w:rPr>
                <w:color w:val="000000"/>
                <w:szCs w:val="22"/>
              </w:rPr>
              <w:t>Prises (tm)</w:t>
            </w:r>
          </w:p>
        </w:tc>
        <w:tc>
          <w:tcPr>
            <w:tcW w:w="671" w:type="pct"/>
            <w:tcBorders>
              <w:top w:val="single" w:sz="4" w:space="0" w:color="auto"/>
              <w:left w:val="nil"/>
              <w:bottom w:val="single" w:sz="4" w:space="0" w:color="auto"/>
              <w:right w:val="nil"/>
            </w:tcBorders>
            <w:shd w:val="clear" w:color="auto" w:fill="auto"/>
            <w:noWrap/>
            <w:vAlign w:val="center"/>
            <w:hideMark/>
          </w:tcPr>
          <w:p w14:paraId="77A7D692" w14:textId="77777777" w:rsidR="005B0FC4" w:rsidRPr="008C3457" w:rsidRDefault="005B0FC4">
            <w:pPr>
              <w:jc w:val="center"/>
              <w:rPr>
                <w:color w:val="000000"/>
                <w:szCs w:val="22"/>
              </w:rPr>
            </w:pPr>
            <w:r>
              <w:rPr>
                <w:color w:val="000000"/>
                <w:szCs w:val="22"/>
              </w:rPr>
              <w:t>Quotas/Moy.</w:t>
            </w:r>
          </w:p>
        </w:tc>
        <w:tc>
          <w:tcPr>
            <w:tcW w:w="753" w:type="pct"/>
            <w:tcBorders>
              <w:top w:val="single" w:sz="4" w:space="0" w:color="auto"/>
              <w:left w:val="nil"/>
              <w:bottom w:val="single" w:sz="4" w:space="0" w:color="auto"/>
              <w:right w:val="nil"/>
            </w:tcBorders>
            <w:shd w:val="clear" w:color="auto" w:fill="auto"/>
            <w:noWrap/>
            <w:vAlign w:val="center"/>
            <w:hideMark/>
          </w:tcPr>
          <w:p w14:paraId="7CDF8A8F" w14:textId="77777777" w:rsidR="005B0FC4" w:rsidRPr="008C3457" w:rsidRDefault="005B0FC4">
            <w:pPr>
              <w:jc w:val="center"/>
              <w:rPr>
                <w:color w:val="000000"/>
                <w:szCs w:val="22"/>
              </w:rPr>
            </w:pPr>
            <w:proofErr w:type="spellStart"/>
            <w:r>
              <w:rPr>
                <w:color w:val="000000"/>
                <w:szCs w:val="22"/>
              </w:rPr>
              <w:t>Prises</w:t>
            </w:r>
            <w:proofErr w:type="spellEnd"/>
            <w:r>
              <w:rPr>
                <w:color w:val="000000"/>
                <w:szCs w:val="22"/>
              </w:rPr>
              <w:t>/Moy.</w:t>
            </w:r>
          </w:p>
        </w:tc>
        <w:tc>
          <w:tcPr>
            <w:tcW w:w="1178" w:type="pct"/>
            <w:tcBorders>
              <w:top w:val="single" w:sz="4" w:space="0" w:color="auto"/>
              <w:left w:val="nil"/>
              <w:bottom w:val="single" w:sz="4" w:space="0" w:color="auto"/>
              <w:right w:val="nil"/>
            </w:tcBorders>
            <w:shd w:val="clear" w:color="auto" w:fill="auto"/>
            <w:vAlign w:val="center"/>
            <w:hideMark/>
          </w:tcPr>
          <w:p w14:paraId="26D382F7" w14:textId="77777777" w:rsidR="005B0FC4" w:rsidRPr="008C3457" w:rsidRDefault="005B0FC4">
            <w:pPr>
              <w:jc w:val="center"/>
              <w:rPr>
                <w:color w:val="000000"/>
                <w:szCs w:val="22"/>
              </w:rPr>
            </w:pPr>
            <w:r>
              <w:rPr>
                <w:color w:val="000000"/>
                <w:szCs w:val="22"/>
              </w:rPr>
              <w:t>Type de modèle</w:t>
            </w:r>
          </w:p>
        </w:tc>
      </w:tr>
      <w:tr w:rsidR="000F1128" w:rsidRPr="008C3457" w14:paraId="30FE33B5" w14:textId="77777777" w:rsidTr="006B5BEE">
        <w:trPr>
          <w:trHeight w:val="20"/>
          <w:tblHeader/>
        </w:trPr>
        <w:tc>
          <w:tcPr>
            <w:tcW w:w="684" w:type="pct"/>
            <w:tcBorders>
              <w:top w:val="single" w:sz="4" w:space="0" w:color="auto"/>
              <w:left w:val="nil"/>
              <w:right w:val="nil"/>
            </w:tcBorders>
            <w:shd w:val="clear" w:color="auto" w:fill="auto"/>
            <w:vAlign w:val="center"/>
            <w:hideMark/>
          </w:tcPr>
          <w:p w14:paraId="0310999D" w14:textId="77777777" w:rsidR="000F1128" w:rsidRPr="008C3457" w:rsidRDefault="000F1128">
            <w:pPr>
              <w:jc w:val="center"/>
              <w:rPr>
                <w:color w:val="000000"/>
                <w:szCs w:val="22"/>
              </w:rPr>
            </w:pPr>
            <w:r>
              <w:rPr>
                <w:color w:val="000000"/>
                <w:szCs w:val="22"/>
              </w:rPr>
              <w:t>2010</w:t>
            </w:r>
          </w:p>
        </w:tc>
        <w:tc>
          <w:tcPr>
            <w:tcW w:w="687" w:type="pct"/>
            <w:tcBorders>
              <w:top w:val="single" w:sz="4" w:space="0" w:color="auto"/>
              <w:left w:val="nil"/>
              <w:right w:val="nil"/>
            </w:tcBorders>
            <w:shd w:val="clear" w:color="auto" w:fill="auto"/>
            <w:noWrap/>
            <w:vAlign w:val="bottom"/>
            <w:hideMark/>
          </w:tcPr>
          <w:p w14:paraId="2EE1CA91" w14:textId="779F8F25" w:rsidR="000F1128" w:rsidRPr="008C3457" w:rsidRDefault="000F1128">
            <w:pPr>
              <w:jc w:val="center"/>
              <w:rPr>
                <w:color w:val="000000"/>
                <w:szCs w:val="22"/>
              </w:rPr>
            </w:pPr>
            <w:r>
              <w:rPr>
                <w:color w:val="000000"/>
                <w:szCs w:val="22"/>
              </w:rPr>
              <w:t>1 956</w:t>
            </w:r>
          </w:p>
        </w:tc>
        <w:tc>
          <w:tcPr>
            <w:tcW w:w="1027" w:type="pct"/>
            <w:tcBorders>
              <w:top w:val="single" w:sz="4" w:space="0" w:color="auto"/>
              <w:left w:val="nil"/>
              <w:right w:val="nil"/>
            </w:tcBorders>
            <w:shd w:val="clear" w:color="auto" w:fill="auto"/>
            <w:vAlign w:val="bottom"/>
            <w:hideMark/>
          </w:tcPr>
          <w:p w14:paraId="2724EECD" w14:textId="711585C2" w:rsidR="000F1128" w:rsidRPr="008C3457" w:rsidRDefault="000F1128">
            <w:pPr>
              <w:jc w:val="center"/>
              <w:rPr>
                <w:color w:val="000000"/>
                <w:szCs w:val="22"/>
              </w:rPr>
            </w:pPr>
            <w:r>
              <w:rPr>
                <w:color w:val="000000"/>
                <w:szCs w:val="22"/>
              </w:rPr>
              <w:t>1 170</w:t>
            </w:r>
          </w:p>
        </w:tc>
        <w:tc>
          <w:tcPr>
            <w:tcW w:w="671" w:type="pct"/>
            <w:tcBorders>
              <w:top w:val="single" w:sz="4" w:space="0" w:color="auto"/>
              <w:left w:val="nil"/>
              <w:right w:val="nil"/>
            </w:tcBorders>
            <w:shd w:val="clear" w:color="auto" w:fill="auto"/>
            <w:noWrap/>
            <w:vAlign w:val="bottom"/>
            <w:hideMark/>
          </w:tcPr>
          <w:p w14:paraId="4EE9FBF3" w14:textId="1C0B6AFE" w:rsidR="000F1128" w:rsidRPr="008C3457" w:rsidRDefault="000F1128">
            <w:pPr>
              <w:jc w:val="center"/>
              <w:rPr>
                <w:color w:val="000000"/>
                <w:szCs w:val="22"/>
              </w:rPr>
            </w:pPr>
            <w:r>
              <w:rPr>
                <w:color w:val="000000"/>
                <w:szCs w:val="22"/>
              </w:rPr>
              <w:t>3 %</w:t>
            </w:r>
          </w:p>
        </w:tc>
        <w:tc>
          <w:tcPr>
            <w:tcW w:w="753" w:type="pct"/>
            <w:tcBorders>
              <w:top w:val="single" w:sz="4" w:space="0" w:color="auto"/>
              <w:left w:val="nil"/>
              <w:right w:val="nil"/>
            </w:tcBorders>
            <w:shd w:val="clear" w:color="auto" w:fill="auto"/>
            <w:noWrap/>
            <w:vAlign w:val="bottom"/>
            <w:hideMark/>
          </w:tcPr>
          <w:p w14:paraId="01736C14" w14:textId="106DE9C6" w:rsidR="000F1128" w:rsidRPr="008C3457" w:rsidRDefault="000F1128">
            <w:pPr>
              <w:jc w:val="center"/>
              <w:rPr>
                <w:color w:val="000000"/>
                <w:szCs w:val="22"/>
              </w:rPr>
            </w:pPr>
            <w:r>
              <w:rPr>
                <w:color w:val="000000"/>
                <w:szCs w:val="22"/>
              </w:rPr>
              <w:t>2 %</w:t>
            </w:r>
          </w:p>
        </w:tc>
        <w:tc>
          <w:tcPr>
            <w:tcW w:w="1178" w:type="pct"/>
            <w:tcBorders>
              <w:top w:val="single" w:sz="4" w:space="0" w:color="auto"/>
              <w:left w:val="nil"/>
              <w:right w:val="nil"/>
            </w:tcBorders>
            <w:shd w:val="clear" w:color="auto" w:fill="auto"/>
            <w:vAlign w:val="bottom"/>
            <w:hideMark/>
          </w:tcPr>
          <w:p w14:paraId="4405E3BA" w14:textId="28F9B847" w:rsidR="000F1128" w:rsidRPr="008C3457" w:rsidRDefault="000F1128">
            <w:pPr>
              <w:jc w:val="center"/>
              <w:rPr>
                <w:color w:val="000000"/>
                <w:szCs w:val="22"/>
              </w:rPr>
            </w:pPr>
            <w:r>
              <w:rPr>
                <w:color w:val="000000"/>
                <w:szCs w:val="22"/>
              </w:rPr>
              <w:t>APV</w:t>
            </w:r>
          </w:p>
        </w:tc>
      </w:tr>
      <w:tr w:rsidR="000F1128" w:rsidRPr="008C3457" w14:paraId="4B531D44" w14:textId="77777777" w:rsidTr="006B5BEE">
        <w:trPr>
          <w:trHeight w:val="20"/>
          <w:tblHeader/>
        </w:trPr>
        <w:tc>
          <w:tcPr>
            <w:tcW w:w="684" w:type="pct"/>
            <w:tcBorders>
              <w:left w:val="nil"/>
              <w:right w:val="nil"/>
            </w:tcBorders>
            <w:shd w:val="clear" w:color="auto" w:fill="auto"/>
            <w:vAlign w:val="center"/>
            <w:hideMark/>
          </w:tcPr>
          <w:p w14:paraId="23128398" w14:textId="77777777" w:rsidR="000F1128" w:rsidRPr="008C3457" w:rsidRDefault="000F1128">
            <w:pPr>
              <w:jc w:val="center"/>
              <w:rPr>
                <w:color w:val="000000"/>
                <w:szCs w:val="22"/>
              </w:rPr>
            </w:pPr>
            <w:r>
              <w:rPr>
                <w:color w:val="000000"/>
                <w:szCs w:val="22"/>
              </w:rPr>
              <w:t>2011</w:t>
            </w:r>
          </w:p>
        </w:tc>
        <w:tc>
          <w:tcPr>
            <w:tcW w:w="687" w:type="pct"/>
            <w:tcBorders>
              <w:left w:val="nil"/>
              <w:right w:val="nil"/>
            </w:tcBorders>
            <w:shd w:val="clear" w:color="auto" w:fill="auto"/>
            <w:noWrap/>
            <w:vAlign w:val="bottom"/>
            <w:hideMark/>
          </w:tcPr>
          <w:p w14:paraId="184F13B8" w14:textId="3F43761A" w:rsidR="000F1128" w:rsidRPr="008C3457" w:rsidRDefault="000F1128">
            <w:pPr>
              <w:jc w:val="center"/>
              <w:rPr>
                <w:color w:val="000000"/>
                <w:szCs w:val="22"/>
              </w:rPr>
            </w:pPr>
            <w:r>
              <w:rPr>
                <w:color w:val="000000"/>
                <w:szCs w:val="22"/>
              </w:rPr>
              <w:t>2 650</w:t>
            </w:r>
          </w:p>
        </w:tc>
        <w:tc>
          <w:tcPr>
            <w:tcW w:w="1027" w:type="pct"/>
            <w:tcBorders>
              <w:left w:val="nil"/>
              <w:right w:val="nil"/>
            </w:tcBorders>
            <w:shd w:val="clear" w:color="auto" w:fill="auto"/>
            <w:vAlign w:val="bottom"/>
            <w:hideMark/>
          </w:tcPr>
          <w:p w14:paraId="2CB447D8" w14:textId="61B94F99" w:rsidR="000F1128" w:rsidRPr="008C3457" w:rsidRDefault="000F1128">
            <w:pPr>
              <w:jc w:val="center"/>
              <w:rPr>
                <w:color w:val="000000"/>
                <w:szCs w:val="22"/>
              </w:rPr>
            </w:pPr>
            <w:r>
              <w:rPr>
                <w:color w:val="000000"/>
                <w:szCs w:val="22"/>
              </w:rPr>
              <w:t>1 171</w:t>
            </w:r>
          </w:p>
        </w:tc>
        <w:tc>
          <w:tcPr>
            <w:tcW w:w="671" w:type="pct"/>
            <w:tcBorders>
              <w:left w:val="nil"/>
              <w:right w:val="nil"/>
            </w:tcBorders>
            <w:shd w:val="clear" w:color="auto" w:fill="auto"/>
            <w:noWrap/>
            <w:vAlign w:val="bottom"/>
            <w:hideMark/>
          </w:tcPr>
          <w:p w14:paraId="1B3506AF" w14:textId="573A5D05" w:rsidR="000F1128" w:rsidRPr="008C3457" w:rsidRDefault="000F1128">
            <w:pPr>
              <w:jc w:val="center"/>
              <w:rPr>
                <w:color w:val="000000"/>
                <w:szCs w:val="22"/>
              </w:rPr>
            </w:pPr>
            <w:r>
              <w:rPr>
                <w:color w:val="000000"/>
                <w:szCs w:val="22"/>
              </w:rPr>
              <w:t>11 %</w:t>
            </w:r>
          </w:p>
        </w:tc>
        <w:tc>
          <w:tcPr>
            <w:tcW w:w="753" w:type="pct"/>
            <w:tcBorders>
              <w:left w:val="nil"/>
              <w:right w:val="nil"/>
            </w:tcBorders>
            <w:shd w:val="clear" w:color="auto" w:fill="auto"/>
            <w:noWrap/>
            <w:vAlign w:val="bottom"/>
            <w:hideMark/>
          </w:tcPr>
          <w:p w14:paraId="5C4E198D" w14:textId="6CB57CC4" w:rsidR="000F1128" w:rsidRPr="008C3457" w:rsidRDefault="000F1128">
            <w:pPr>
              <w:jc w:val="center"/>
              <w:rPr>
                <w:color w:val="000000"/>
                <w:szCs w:val="22"/>
              </w:rPr>
            </w:pPr>
            <w:r>
              <w:rPr>
                <w:color w:val="000000"/>
                <w:szCs w:val="22"/>
              </w:rPr>
              <w:t>5 %</w:t>
            </w:r>
          </w:p>
        </w:tc>
        <w:tc>
          <w:tcPr>
            <w:tcW w:w="1178" w:type="pct"/>
            <w:tcBorders>
              <w:left w:val="nil"/>
              <w:right w:val="nil"/>
            </w:tcBorders>
            <w:shd w:val="clear" w:color="auto" w:fill="auto"/>
            <w:vAlign w:val="bottom"/>
            <w:hideMark/>
          </w:tcPr>
          <w:p w14:paraId="3B3715FB" w14:textId="1D6914C2" w:rsidR="000F1128" w:rsidRPr="008C3457" w:rsidRDefault="000F1128">
            <w:pPr>
              <w:jc w:val="center"/>
              <w:rPr>
                <w:color w:val="000000"/>
                <w:szCs w:val="22"/>
              </w:rPr>
            </w:pPr>
            <w:r>
              <w:rPr>
                <w:color w:val="000000"/>
                <w:szCs w:val="22"/>
              </w:rPr>
              <w:t>APV</w:t>
            </w:r>
          </w:p>
        </w:tc>
      </w:tr>
      <w:tr w:rsidR="000F1128" w:rsidRPr="008C3457" w14:paraId="2B744884" w14:textId="77777777" w:rsidTr="006B5BEE">
        <w:trPr>
          <w:trHeight w:val="20"/>
          <w:tblHeader/>
        </w:trPr>
        <w:tc>
          <w:tcPr>
            <w:tcW w:w="684" w:type="pct"/>
            <w:tcBorders>
              <w:left w:val="nil"/>
              <w:right w:val="nil"/>
            </w:tcBorders>
            <w:shd w:val="clear" w:color="auto" w:fill="auto"/>
            <w:vAlign w:val="center"/>
            <w:hideMark/>
          </w:tcPr>
          <w:p w14:paraId="4E96A6CC" w14:textId="77777777" w:rsidR="000F1128" w:rsidRPr="008C3457" w:rsidRDefault="000F1128">
            <w:pPr>
              <w:jc w:val="center"/>
              <w:rPr>
                <w:color w:val="000000"/>
                <w:szCs w:val="22"/>
              </w:rPr>
            </w:pPr>
            <w:r>
              <w:rPr>
                <w:color w:val="000000"/>
                <w:szCs w:val="22"/>
              </w:rPr>
              <w:t>2012</w:t>
            </w:r>
          </w:p>
        </w:tc>
        <w:tc>
          <w:tcPr>
            <w:tcW w:w="687" w:type="pct"/>
            <w:tcBorders>
              <w:left w:val="nil"/>
              <w:right w:val="nil"/>
            </w:tcBorders>
            <w:shd w:val="clear" w:color="auto" w:fill="auto"/>
            <w:noWrap/>
            <w:vAlign w:val="bottom"/>
            <w:hideMark/>
          </w:tcPr>
          <w:p w14:paraId="0489CBEF" w14:textId="1A16A06F" w:rsidR="000F1128" w:rsidRPr="008C3457" w:rsidRDefault="000F1128">
            <w:pPr>
              <w:jc w:val="center"/>
              <w:rPr>
                <w:color w:val="000000"/>
                <w:szCs w:val="22"/>
              </w:rPr>
            </w:pPr>
            <w:r>
              <w:rPr>
                <w:color w:val="000000"/>
                <w:szCs w:val="22"/>
              </w:rPr>
              <w:t>1 150</w:t>
            </w:r>
          </w:p>
        </w:tc>
        <w:tc>
          <w:tcPr>
            <w:tcW w:w="1027" w:type="pct"/>
            <w:tcBorders>
              <w:left w:val="nil"/>
              <w:right w:val="nil"/>
            </w:tcBorders>
            <w:shd w:val="clear" w:color="auto" w:fill="auto"/>
            <w:vAlign w:val="bottom"/>
            <w:hideMark/>
          </w:tcPr>
          <w:p w14:paraId="356151E9" w14:textId="4B7FDBF2" w:rsidR="000F1128" w:rsidRPr="008C3457" w:rsidRDefault="000F1128">
            <w:pPr>
              <w:jc w:val="center"/>
              <w:rPr>
                <w:color w:val="000000"/>
                <w:szCs w:val="22"/>
              </w:rPr>
            </w:pPr>
            <w:r>
              <w:rPr>
                <w:color w:val="000000"/>
                <w:szCs w:val="22"/>
              </w:rPr>
              <w:t>725</w:t>
            </w:r>
          </w:p>
        </w:tc>
        <w:tc>
          <w:tcPr>
            <w:tcW w:w="671" w:type="pct"/>
            <w:tcBorders>
              <w:left w:val="nil"/>
              <w:right w:val="nil"/>
            </w:tcBorders>
            <w:shd w:val="clear" w:color="auto" w:fill="auto"/>
            <w:noWrap/>
            <w:vAlign w:val="bottom"/>
            <w:hideMark/>
          </w:tcPr>
          <w:p w14:paraId="7190396C" w14:textId="58F6878D" w:rsidR="000F1128" w:rsidRPr="008C3457" w:rsidRDefault="000F1128">
            <w:pPr>
              <w:jc w:val="center"/>
              <w:rPr>
                <w:color w:val="000000"/>
                <w:szCs w:val="22"/>
              </w:rPr>
            </w:pPr>
            <w:r>
              <w:rPr>
                <w:color w:val="000000"/>
                <w:szCs w:val="22"/>
              </w:rPr>
              <w:t>4 %</w:t>
            </w:r>
          </w:p>
        </w:tc>
        <w:tc>
          <w:tcPr>
            <w:tcW w:w="753" w:type="pct"/>
            <w:tcBorders>
              <w:left w:val="nil"/>
              <w:right w:val="nil"/>
            </w:tcBorders>
            <w:shd w:val="clear" w:color="auto" w:fill="auto"/>
            <w:noWrap/>
            <w:vAlign w:val="bottom"/>
            <w:hideMark/>
          </w:tcPr>
          <w:p w14:paraId="44F7E603" w14:textId="14FBA6F7" w:rsidR="000F1128" w:rsidRPr="008C3457" w:rsidRDefault="000F1128">
            <w:pPr>
              <w:jc w:val="center"/>
              <w:rPr>
                <w:color w:val="000000"/>
                <w:szCs w:val="22"/>
              </w:rPr>
            </w:pPr>
            <w:r>
              <w:rPr>
                <w:color w:val="000000"/>
                <w:szCs w:val="22"/>
              </w:rPr>
              <w:t>2 %</w:t>
            </w:r>
          </w:p>
        </w:tc>
        <w:tc>
          <w:tcPr>
            <w:tcW w:w="1178" w:type="pct"/>
            <w:tcBorders>
              <w:left w:val="nil"/>
              <w:right w:val="nil"/>
            </w:tcBorders>
            <w:shd w:val="clear" w:color="auto" w:fill="auto"/>
            <w:vAlign w:val="bottom"/>
            <w:hideMark/>
          </w:tcPr>
          <w:p w14:paraId="753FCBA4" w14:textId="7D0C75EB" w:rsidR="000F1128" w:rsidRPr="008C3457" w:rsidRDefault="000F1128">
            <w:pPr>
              <w:jc w:val="center"/>
              <w:rPr>
                <w:color w:val="000000"/>
                <w:szCs w:val="22"/>
              </w:rPr>
            </w:pPr>
            <w:r>
              <w:rPr>
                <w:color w:val="000000"/>
                <w:szCs w:val="22"/>
              </w:rPr>
              <w:t>APV</w:t>
            </w:r>
          </w:p>
        </w:tc>
      </w:tr>
      <w:tr w:rsidR="000F1128" w:rsidRPr="008C3457" w14:paraId="13EF758D" w14:textId="77777777" w:rsidTr="006B5BEE">
        <w:trPr>
          <w:trHeight w:val="20"/>
          <w:tblHeader/>
        </w:trPr>
        <w:tc>
          <w:tcPr>
            <w:tcW w:w="684" w:type="pct"/>
            <w:tcBorders>
              <w:left w:val="nil"/>
              <w:right w:val="nil"/>
            </w:tcBorders>
            <w:shd w:val="clear" w:color="auto" w:fill="auto"/>
            <w:vAlign w:val="center"/>
            <w:hideMark/>
          </w:tcPr>
          <w:p w14:paraId="270EC60C" w14:textId="77777777" w:rsidR="000F1128" w:rsidRPr="008C3457" w:rsidRDefault="000F1128">
            <w:pPr>
              <w:jc w:val="center"/>
              <w:rPr>
                <w:color w:val="000000"/>
                <w:szCs w:val="22"/>
              </w:rPr>
            </w:pPr>
            <w:r>
              <w:rPr>
                <w:color w:val="000000"/>
                <w:szCs w:val="22"/>
              </w:rPr>
              <w:t>2013</w:t>
            </w:r>
          </w:p>
        </w:tc>
        <w:tc>
          <w:tcPr>
            <w:tcW w:w="687" w:type="pct"/>
            <w:tcBorders>
              <w:left w:val="nil"/>
              <w:right w:val="nil"/>
            </w:tcBorders>
            <w:shd w:val="clear" w:color="auto" w:fill="auto"/>
            <w:noWrap/>
            <w:vAlign w:val="bottom"/>
            <w:hideMark/>
          </w:tcPr>
          <w:p w14:paraId="7CD088E1" w14:textId="505B6CC0" w:rsidR="000F1128" w:rsidRPr="008C3457" w:rsidRDefault="000F1128">
            <w:pPr>
              <w:jc w:val="center"/>
              <w:rPr>
                <w:color w:val="000000"/>
                <w:szCs w:val="22"/>
              </w:rPr>
            </w:pPr>
            <w:r>
              <w:rPr>
                <w:color w:val="000000"/>
                <w:szCs w:val="22"/>
              </w:rPr>
              <w:t>500</w:t>
            </w:r>
          </w:p>
        </w:tc>
        <w:tc>
          <w:tcPr>
            <w:tcW w:w="1027" w:type="pct"/>
            <w:tcBorders>
              <w:left w:val="nil"/>
              <w:right w:val="nil"/>
            </w:tcBorders>
            <w:shd w:val="clear" w:color="auto" w:fill="auto"/>
            <w:vAlign w:val="bottom"/>
            <w:hideMark/>
          </w:tcPr>
          <w:p w14:paraId="67202DBA" w14:textId="5459BF41" w:rsidR="000F1128" w:rsidRPr="008C3457" w:rsidRDefault="000F1128">
            <w:pPr>
              <w:jc w:val="center"/>
              <w:rPr>
                <w:color w:val="000000"/>
                <w:szCs w:val="22"/>
              </w:rPr>
            </w:pPr>
            <w:r>
              <w:rPr>
                <w:color w:val="000000"/>
                <w:szCs w:val="22"/>
              </w:rPr>
              <w:t>218</w:t>
            </w:r>
          </w:p>
        </w:tc>
        <w:tc>
          <w:tcPr>
            <w:tcW w:w="671" w:type="pct"/>
            <w:tcBorders>
              <w:left w:val="nil"/>
              <w:right w:val="nil"/>
            </w:tcBorders>
            <w:shd w:val="clear" w:color="auto" w:fill="auto"/>
            <w:noWrap/>
            <w:vAlign w:val="bottom"/>
            <w:hideMark/>
          </w:tcPr>
          <w:p w14:paraId="58871A80" w14:textId="4D368348" w:rsidR="000F1128" w:rsidRPr="008C3457" w:rsidRDefault="000F1128">
            <w:pPr>
              <w:jc w:val="center"/>
              <w:rPr>
                <w:color w:val="000000"/>
                <w:szCs w:val="22"/>
              </w:rPr>
            </w:pPr>
            <w:r>
              <w:rPr>
                <w:color w:val="000000"/>
                <w:szCs w:val="22"/>
              </w:rPr>
              <w:t>3 %</w:t>
            </w:r>
          </w:p>
        </w:tc>
        <w:tc>
          <w:tcPr>
            <w:tcW w:w="753" w:type="pct"/>
            <w:tcBorders>
              <w:left w:val="nil"/>
              <w:right w:val="nil"/>
            </w:tcBorders>
            <w:shd w:val="clear" w:color="auto" w:fill="auto"/>
            <w:noWrap/>
            <w:vAlign w:val="bottom"/>
            <w:hideMark/>
          </w:tcPr>
          <w:p w14:paraId="521089D9" w14:textId="12426602" w:rsidR="000F1128" w:rsidRPr="008C3457" w:rsidRDefault="000F1128">
            <w:pPr>
              <w:jc w:val="center"/>
              <w:rPr>
                <w:color w:val="000000"/>
                <w:szCs w:val="22"/>
              </w:rPr>
            </w:pPr>
            <w:r>
              <w:rPr>
                <w:color w:val="000000"/>
                <w:szCs w:val="22"/>
              </w:rPr>
              <w:t>1 %</w:t>
            </w:r>
          </w:p>
        </w:tc>
        <w:tc>
          <w:tcPr>
            <w:tcW w:w="1178" w:type="pct"/>
            <w:tcBorders>
              <w:left w:val="nil"/>
              <w:right w:val="nil"/>
            </w:tcBorders>
            <w:shd w:val="clear" w:color="auto" w:fill="auto"/>
            <w:vAlign w:val="bottom"/>
            <w:hideMark/>
          </w:tcPr>
          <w:p w14:paraId="5F853281" w14:textId="52F2CA6A" w:rsidR="000F1128" w:rsidRPr="008C3457" w:rsidRDefault="000F1128">
            <w:pPr>
              <w:jc w:val="center"/>
              <w:rPr>
                <w:color w:val="000000"/>
                <w:szCs w:val="22"/>
              </w:rPr>
            </w:pPr>
            <w:r>
              <w:rPr>
                <w:color w:val="000000"/>
                <w:szCs w:val="22"/>
              </w:rPr>
              <w:t>APV</w:t>
            </w:r>
          </w:p>
        </w:tc>
      </w:tr>
      <w:tr w:rsidR="000F1128" w:rsidRPr="008C3457" w14:paraId="6987EF82" w14:textId="77777777" w:rsidTr="006B5BEE">
        <w:trPr>
          <w:trHeight w:val="20"/>
          <w:tblHeader/>
        </w:trPr>
        <w:tc>
          <w:tcPr>
            <w:tcW w:w="684" w:type="pct"/>
            <w:tcBorders>
              <w:left w:val="nil"/>
              <w:right w:val="nil"/>
            </w:tcBorders>
            <w:shd w:val="clear" w:color="auto" w:fill="auto"/>
            <w:vAlign w:val="center"/>
            <w:hideMark/>
          </w:tcPr>
          <w:p w14:paraId="647D7145" w14:textId="77777777" w:rsidR="000F1128" w:rsidRPr="008C3457" w:rsidRDefault="000F1128">
            <w:pPr>
              <w:jc w:val="center"/>
              <w:rPr>
                <w:color w:val="000000"/>
                <w:szCs w:val="22"/>
              </w:rPr>
            </w:pPr>
            <w:r>
              <w:rPr>
                <w:color w:val="000000"/>
                <w:szCs w:val="22"/>
              </w:rPr>
              <w:t>2014</w:t>
            </w:r>
          </w:p>
        </w:tc>
        <w:tc>
          <w:tcPr>
            <w:tcW w:w="687" w:type="pct"/>
            <w:tcBorders>
              <w:left w:val="nil"/>
              <w:right w:val="nil"/>
            </w:tcBorders>
            <w:shd w:val="clear" w:color="auto" w:fill="auto"/>
            <w:noWrap/>
            <w:vAlign w:val="bottom"/>
            <w:hideMark/>
          </w:tcPr>
          <w:p w14:paraId="3B6F561C" w14:textId="4F79DF64" w:rsidR="000F1128" w:rsidRPr="008C3457" w:rsidRDefault="000F1128">
            <w:pPr>
              <w:jc w:val="center"/>
              <w:rPr>
                <w:color w:val="000000"/>
                <w:szCs w:val="22"/>
              </w:rPr>
            </w:pPr>
            <w:r>
              <w:rPr>
                <w:color w:val="000000"/>
                <w:szCs w:val="22"/>
              </w:rPr>
              <w:t>400</w:t>
            </w:r>
          </w:p>
        </w:tc>
        <w:tc>
          <w:tcPr>
            <w:tcW w:w="1027" w:type="pct"/>
            <w:tcBorders>
              <w:left w:val="nil"/>
              <w:right w:val="nil"/>
            </w:tcBorders>
            <w:shd w:val="clear" w:color="auto" w:fill="auto"/>
            <w:vAlign w:val="bottom"/>
            <w:hideMark/>
          </w:tcPr>
          <w:p w14:paraId="3947352E" w14:textId="5669C240" w:rsidR="000F1128" w:rsidRPr="008C3457" w:rsidRDefault="000F1128">
            <w:pPr>
              <w:jc w:val="center"/>
              <w:rPr>
                <w:color w:val="000000"/>
                <w:szCs w:val="22"/>
              </w:rPr>
            </w:pPr>
            <w:r>
              <w:rPr>
                <w:color w:val="000000"/>
                <w:szCs w:val="22"/>
              </w:rPr>
              <w:t>159</w:t>
            </w:r>
          </w:p>
        </w:tc>
        <w:tc>
          <w:tcPr>
            <w:tcW w:w="671" w:type="pct"/>
            <w:tcBorders>
              <w:left w:val="nil"/>
              <w:right w:val="nil"/>
            </w:tcBorders>
            <w:shd w:val="clear" w:color="auto" w:fill="auto"/>
            <w:noWrap/>
            <w:vAlign w:val="bottom"/>
            <w:hideMark/>
          </w:tcPr>
          <w:p w14:paraId="7BD00AB6" w14:textId="73BEF1D3" w:rsidR="000F1128" w:rsidRPr="008C3457" w:rsidRDefault="000F1128">
            <w:pPr>
              <w:jc w:val="center"/>
              <w:rPr>
                <w:color w:val="000000"/>
                <w:szCs w:val="22"/>
              </w:rPr>
            </w:pPr>
            <w:r>
              <w:rPr>
                <w:color w:val="000000"/>
                <w:szCs w:val="22"/>
              </w:rPr>
              <w:t>6 %</w:t>
            </w:r>
          </w:p>
        </w:tc>
        <w:tc>
          <w:tcPr>
            <w:tcW w:w="753" w:type="pct"/>
            <w:tcBorders>
              <w:left w:val="nil"/>
              <w:right w:val="nil"/>
            </w:tcBorders>
            <w:shd w:val="clear" w:color="auto" w:fill="auto"/>
            <w:noWrap/>
            <w:vAlign w:val="bottom"/>
            <w:hideMark/>
          </w:tcPr>
          <w:p w14:paraId="7737E29F" w14:textId="3FF77605" w:rsidR="000F1128" w:rsidRPr="008C3457" w:rsidRDefault="000F1128">
            <w:pPr>
              <w:jc w:val="center"/>
              <w:rPr>
                <w:color w:val="000000"/>
                <w:szCs w:val="22"/>
              </w:rPr>
            </w:pPr>
            <w:r>
              <w:rPr>
                <w:color w:val="000000"/>
                <w:szCs w:val="22"/>
              </w:rPr>
              <w:t>2 %</w:t>
            </w:r>
          </w:p>
        </w:tc>
        <w:tc>
          <w:tcPr>
            <w:tcW w:w="1178" w:type="pct"/>
            <w:tcBorders>
              <w:left w:val="nil"/>
              <w:right w:val="nil"/>
            </w:tcBorders>
            <w:shd w:val="clear" w:color="auto" w:fill="auto"/>
            <w:vAlign w:val="bottom"/>
            <w:hideMark/>
          </w:tcPr>
          <w:p w14:paraId="35FDED5E" w14:textId="65E91FB9" w:rsidR="000F1128" w:rsidRPr="008C3457" w:rsidRDefault="000F1128">
            <w:pPr>
              <w:jc w:val="center"/>
              <w:rPr>
                <w:color w:val="000000"/>
                <w:szCs w:val="22"/>
              </w:rPr>
            </w:pPr>
            <w:r>
              <w:rPr>
                <w:color w:val="000000"/>
                <w:szCs w:val="22"/>
              </w:rPr>
              <w:t>APV</w:t>
            </w:r>
          </w:p>
        </w:tc>
      </w:tr>
      <w:tr w:rsidR="000F1128" w:rsidRPr="008C3457" w14:paraId="4F8D534E" w14:textId="77777777" w:rsidTr="006B5BEE">
        <w:trPr>
          <w:trHeight w:val="20"/>
          <w:tblHeader/>
        </w:trPr>
        <w:tc>
          <w:tcPr>
            <w:tcW w:w="684" w:type="pct"/>
            <w:tcBorders>
              <w:left w:val="nil"/>
              <w:right w:val="nil"/>
            </w:tcBorders>
            <w:shd w:val="clear" w:color="auto" w:fill="auto"/>
            <w:vAlign w:val="center"/>
            <w:hideMark/>
          </w:tcPr>
          <w:p w14:paraId="1EFC4F8E" w14:textId="77777777" w:rsidR="000F1128" w:rsidRPr="008C3457" w:rsidRDefault="000F1128">
            <w:pPr>
              <w:jc w:val="center"/>
              <w:rPr>
                <w:color w:val="000000"/>
                <w:szCs w:val="22"/>
              </w:rPr>
            </w:pPr>
            <w:r>
              <w:rPr>
                <w:color w:val="000000"/>
                <w:szCs w:val="22"/>
              </w:rPr>
              <w:t>2015</w:t>
            </w:r>
          </w:p>
        </w:tc>
        <w:tc>
          <w:tcPr>
            <w:tcW w:w="687" w:type="pct"/>
            <w:tcBorders>
              <w:left w:val="nil"/>
              <w:right w:val="nil"/>
            </w:tcBorders>
            <w:shd w:val="clear" w:color="auto" w:fill="auto"/>
            <w:noWrap/>
            <w:vAlign w:val="bottom"/>
            <w:hideMark/>
          </w:tcPr>
          <w:p w14:paraId="5084C1B1" w14:textId="42D1B645" w:rsidR="000F1128" w:rsidRPr="008C3457" w:rsidRDefault="000F1128">
            <w:pPr>
              <w:jc w:val="center"/>
              <w:rPr>
                <w:color w:val="000000"/>
                <w:szCs w:val="22"/>
              </w:rPr>
            </w:pPr>
            <w:r>
              <w:rPr>
                <w:color w:val="000000"/>
                <w:szCs w:val="22"/>
              </w:rPr>
              <w:t>354</w:t>
            </w:r>
          </w:p>
        </w:tc>
        <w:tc>
          <w:tcPr>
            <w:tcW w:w="1027" w:type="pct"/>
            <w:tcBorders>
              <w:left w:val="nil"/>
              <w:right w:val="nil"/>
            </w:tcBorders>
            <w:shd w:val="clear" w:color="auto" w:fill="auto"/>
            <w:vAlign w:val="bottom"/>
            <w:hideMark/>
          </w:tcPr>
          <w:p w14:paraId="10078B9B" w14:textId="7594450A" w:rsidR="000F1128" w:rsidRPr="008C3457" w:rsidRDefault="000F1128">
            <w:pPr>
              <w:jc w:val="center"/>
              <w:rPr>
                <w:color w:val="000000"/>
                <w:szCs w:val="22"/>
              </w:rPr>
            </w:pPr>
            <w:r>
              <w:rPr>
                <w:color w:val="000000"/>
                <w:szCs w:val="22"/>
              </w:rPr>
              <w:t>118</w:t>
            </w:r>
          </w:p>
        </w:tc>
        <w:tc>
          <w:tcPr>
            <w:tcW w:w="671" w:type="pct"/>
            <w:tcBorders>
              <w:left w:val="nil"/>
              <w:right w:val="nil"/>
            </w:tcBorders>
            <w:shd w:val="clear" w:color="auto" w:fill="auto"/>
            <w:noWrap/>
            <w:vAlign w:val="bottom"/>
            <w:hideMark/>
          </w:tcPr>
          <w:p w14:paraId="0C8366CB" w14:textId="58A955CC" w:rsidR="000F1128" w:rsidRPr="008C3457" w:rsidRDefault="000F1128">
            <w:pPr>
              <w:jc w:val="center"/>
              <w:rPr>
                <w:color w:val="000000"/>
                <w:szCs w:val="22"/>
              </w:rPr>
            </w:pPr>
            <w:r>
              <w:rPr>
                <w:color w:val="000000"/>
                <w:szCs w:val="22"/>
              </w:rPr>
              <w:t>5 %</w:t>
            </w:r>
          </w:p>
        </w:tc>
        <w:tc>
          <w:tcPr>
            <w:tcW w:w="753" w:type="pct"/>
            <w:tcBorders>
              <w:left w:val="nil"/>
              <w:right w:val="nil"/>
            </w:tcBorders>
            <w:shd w:val="clear" w:color="auto" w:fill="auto"/>
            <w:noWrap/>
            <w:vAlign w:val="bottom"/>
            <w:hideMark/>
          </w:tcPr>
          <w:p w14:paraId="280B370A" w14:textId="78BBAA5E" w:rsidR="000F1128" w:rsidRPr="008C3457" w:rsidRDefault="000F1128">
            <w:pPr>
              <w:jc w:val="center"/>
              <w:rPr>
                <w:color w:val="000000"/>
                <w:szCs w:val="22"/>
              </w:rPr>
            </w:pPr>
            <w:r>
              <w:rPr>
                <w:color w:val="000000"/>
                <w:szCs w:val="22"/>
              </w:rPr>
              <w:t>2 %</w:t>
            </w:r>
          </w:p>
        </w:tc>
        <w:tc>
          <w:tcPr>
            <w:tcW w:w="1178" w:type="pct"/>
            <w:tcBorders>
              <w:left w:val="nil"/>
              <w:right w:val="nil"/>
            </w:tcBorders>
            <w:shd w:val="clear" w:color="auto" w:fill="auto"/>
            <w:vAlign w:val="bottom"/>
            <w:hideMark/>
          </w:tcPr>
          <w:p w14:paraId="514B4470" w14:textId="25665996" w:rsidR="000F1128" w:rsidRPr="008C3457" w:rsidRDefault="000F1128">
            <w:pPr>
              <w:jc w:val="center"/>
              <w:rPr>
                <w:color w:val="000000"/>
                <w:szCs w:val="22"/>
              </w:rPr>
            </w:pPr>
            <w:r>
              <w:rPr>
                <w:color w:val="000000"/>
                <w:szCs w:val="22"/>
              </w:rPr>
              <w:t>Empirique</w:t>
            </w:r>
          </w:p>
        </w:tc>
      </w:tr>
      <w:tr w:rsidR="000F1128" w:rsidRPr="008C3457" w14:paraId="4519E3C9" w14:textId="77777777" w:rsidTr="00CC13C3">
        <w:trPr>
          <w:trHeight w:val="20"/>
          <w:tblHeader/>
        </w:trPr>
        <w:tc>
          <w:tcPr>
            <w:tcW w:w="684" w:type="pct"/>
            <w:tcBorders>
              <w:left w:val="nil"/>
              <w:right w:val="nil"/>
            </w:tcBorders>
            <w:shd w:val="clear" w:color="auto" w:fill="auto"/>
            <w:vAlign w:val="center"/>
            <w:hideMark/>
          </w:tcPr>
          <w:p w14:paraId="7BC1B046" w14:textId="77777777" w:rsidR="000F1128" w:rsidRPr="008C3457" w:rsidRDefault="000F1128">
            <w:pPr>
              <w:jc w:val="center"/>
              <w:rPr>
                <w:color w:val="000000"/>
                <w:szCs w:val="22"/>
              </w:rPr>
            </w:pPr>
            <w:r>
              <w:rPr>
                <w:color w:val="000000"/>
                <w:szCs w:val="22"/>
              </w:rPr>
              <w:t>2016</w:t>
            </w:r>
          </w:p>
        </w:tc>
        <w:tc>
          <w:tcPr>
            <w:tcW w:w="687" w:type="pct"/>
            <w:tcBorders>
              <w:left w:val="nil"/>
              <w:right w:val="nil"/>
            </w:tcBorders>
            <w:shd w:val="clear" w:color="auto" w:fill="auto"/>
            <w:noWrap/>
            <w:vAlign w:val="bottom"/>
            <w:hideMark/>
          </w:tcPr>
          <w:p w14:paraId="50945E92" w14:textId="041CD13E" w:rsidR="000F1128" w:rsidRPr="008C3457" w:rsidRDefault="000F1128">
            <w:pPr>
              <w:jc w:val="center"/>
              <w:rPr>
                <w:color w:val="000000"/>
                <w:szCs w:val="22"/>
              </w:rPr>
            </w:pPr>
            <w:r>
              <w:rPr>
                <w:color w:val="000000"/>
                <w:szCs w:val="22"/>
              </w:rPr>
              <w:t>354</w:t>
            </w:r>
          </w:p>
        </w:tc>
        <w:tc>
          <w:tcPr>
            <w:tcW w:w="1027" w:type="pct"/>
            <w:tcBorders>
              <w:left w:val="nil"/>
              <w:right w:val="nil"/>
            </w:tcBorders>
            <w:shd w:val="clear" w:color="auto" w:fill="auto"/>
            <w:vAlign w:val="bottom"/>
            <w:hideMark/>
          </w:tcPr>
          <w:p w14:paraId="66FCEB84" w14:textId="26FB818B" w:rsidR="000F1128" w:rsidRPr="008C3457" w:rsidRDefault="000F1128">
            <w:pPr>
              <w:jc w:val="center"/>
              <w:rPr>
                <w:color w:val="000000"/>
                <w:szCs w:val="22"/>
              </w:rPr>
            </w:pPr>
            <w:r>
              <w:rPr>
                <w:color w:val="000000"/>
                <w:szCs w:val="22"/>
              </w:rPr>
              <w:t>44</w:t>
            </w:r>
          </w:p>
        </w:tc>
        <w:tc>
          <w:tcPr>
            <w:tcW w:w="671" w:type="pct"/>
            <w:tcBorders>
              <w:left w:val="nil"/>
              <w:right w:val="nil"/>
            </w:tcBorders>
            <w:shd w:val="clear" w:color="auto" w:fill="auto"/>
            <w:noWrap/>
            <w:vAlign w:val="bottom"/>
            <w:hideMark/>
          </w:tcPr>
          <w:p w14:paraId="0FE4170D" w14:textId="7B897A52" w:rsidR="000F1128" w:rsidRPr="008C3457" w:rsidRDefault="000F1128">
            <w:pPr>
              <w:jc w:val="center"/>
              <w:rPr>
                <w:color w:val="000000"/>
                <w:szCs w:val="22"/>
              </w:rPr>
            </w:pPr>
            <w:r>
              <w:rPr>
                <w:color w:val="000000"/>
                <w:szCs w:val="22"/>
              </w:rPr>
              <w:t>7 %</w:t>
            </w:r>
          </w:p>
        </w:tc>
        <w:tc>
          <w:tcPr>
            <w:tcW w:w="753" w:type="pct"/>
            <w:tcBorders>
              <w:left w:val="nil"/>
              <w:right w:val="nil"/>
            </w:tcBorders>
            <w:shd w:val="clear" w:color="auto" w:fill="auto"/>
            <w:noWrap/>
            <w:vAlign w:val="bottom"/>
            <w:hideMark/>
          </w:tcPr>
          <w:p w14:paraId="3C54F702" w14:textId="379D180F" w:rsidR="000F1128" w:rsidRPr="008C3457" w:rsidRDefault="000F1128">
            <w:pPr>
              <w:jc w:val="center"/>
              <w:rPr>
                <w:color w:val="000000"/>
                <w:szCs w:val="22"/>
              </w:rPr>
            </w:pPr>
            <w:r>
              <w:rPr>
                <w:color w:val="000000"/>
                <w:szCs w:val="22"/>
              </w:rPr>
              <w:t>1 %</w:t>
            </w:r>
          </w:p>
        </w:tc>
        <w:tc>
          <w:tcPr>
            <w:tcW w:w="1178" w:type="pct"/>
            <w:tcBorders>
              <w:left w:val="nil"/>
              <w:right w:val="nil"/>
            </w:tcBorders>
            <w:shd w:val="clear" w:color="auto" w:fill="auto"/>
            <w:vAlign w:val="bottom"/>
            <w:hideMark/>
          </w:tcPr>
          <w:p w14:paraId="2294E4CA" w14:textId="39C17C69" w:rsidR="000F1128" w:rsidRPr="008C3457" w:rsidRDefault="000F1128">
            <w:pPr>
              <w:jc w:val="center"/>
              <w:rPr>
                <w:color w:val="000000"/>
                <w:szCs w:val="22"/>
              </w:rPr>
            </w:pPr>
            <w:r>
              <w:rPr>
                <w:color w:val="000000"/>
                <w:szCs w:val="22"/>
              </w:rPr>
              <w:t>Empirique</w:t>
            </w:r>
          </w:p>
        </w:tc>
      </w:tr>
      <w:tr w:rsidR="005B0FC4" w:rsidRPr="008C3457" w14:paraId="4C49075A" w14:textId="77777777" w:rsidTr="00CC13C3">
        <w:trPr>
          <w:trHeight w:val="20"/>
          <w:tblHeader/>
        </w:trPr>
        <w:tc>
          <w:tcPr>
            <w:tcW w:w="684" w:type="pct"/>
            <w:tcBorders>
              <w:left w:val="nil"/>
              <w:right w:val="nil"/>
            </w:tcBorders>
            <w:shd w:val="clear" w:color="auto" w:fill="auto"/>
            <w:vAlign w:val="center"/>
            <w:hideMark/>
          </w:tcPr>
          <w:p w14:paraId="0D447E06" w14:textId="77777777" w:rsidR="005B0FC4" w:rsidRPr="008C3457" w:rsidRDefault="005B0FC4">
            <w:pPr>
              <w:jc w:val="center"/>
              <w:rPr>
                <w:color w:val="000000"/>
                <w:szCs w:val="22"/>
              </w:rPr>
            </w:pPr>
            <w:r>
              <w:rPr>
                <w:color w:val="000000"/>
                <w:szCs w:val="22"/>
              </w:rPr>
              <w:t>2017</w:t>
            </w:r>
          </w:p>
        </w:tc>
        <w:tc>
          <w:tcPr>
            <w:tcW w:w="687" w:type="pct"/>
            <w:tcBorders>
              <w:left w:val="nil"/>
              <w:right w:val="nil"/>
            </w:tcBorders>
            <w:shd w:val="clear" w:color="auto" w:fill="auto"/>
            <w:noWrap/>
            <w:vAlign w:val="center"/>
            <w:hideMark/>
          </w:tcPr>
          <w:p w14:paraId="17A36427" w14:textId="77777777" w:rsidR="005B0FC4" w:rsidRPr="008C3457" w:rsidRDefault="005B0FC4">
            <w:pPr>
              <w:jc w:val="center"/>
              <w:rPr>
                <w:color w:val="000000"/>
                <w:szCs w:val="22"/>
              </w:rPr>
            </w:pPr>
            <w:r>
              <w:rPr>
                <w:color w:val="000000"/>
                <w:szCs w:val="22"/>
              </w:rPr>
              <w:t>300</w:t>
            </w:r>
          </w:p>
        </w:tc>
        <w:tc>
          <w:tcPr>
            <w:tcW w:w="1027" w:type="pct"/>
            <w:tcBorders>
              <w:left w:val="nil"/>
              <w:right w:val="nil"/>
            </w:tcBorders>
            <w:shd w:val="clear" w:color="auto" w:fill="auto"/>
            <w:vAlign w:val="center"/>
            <w:hideMark/>
          </w:tcPr>
          <w:p w14:paraId="7245F9F1" w14:textId="700EA912" w:rsidR="005B0FC4" w:rsidRPr="008C3457" w:rsidRDefault="00CC13C3">
            <w:pPr>
              <w:jc w:val="center"/>
              <w:rPr>
                <w:color w:val="000000"/>
                <w:szCs w:val="22"/>
              </w:rPr>
            </w:pPr>
            <w:r>
              <w:rPr>
                <w:color w:val="000000"/>
                <w:szCs w:val="22"/>
              </w:rPr>
              <w:t>95</w:t>
            </w:r>
          </w:p>
        </w:tc>
        <w:tc>
          <w:tcPr>
            <w:tcW w:w="671" w:type="pct"/>
            <w:tcBorders>
              <w:left w:val="nil"/>
              <w:right w:val="nil"/>
            </w:tcBorders>
            <w:shd w:val="clear" w:color="auto" w:fill="auto"/>
            <w:noWrap/>
            <w:vAlign w:val="center"/>
            <w:hideMark/>
          </w:tcPr>
          <w:p w14:paraId="01928139" w14:textId="77777777" w:rsidR="005B0FC4" w:rsidRPr="008C3457" w:rsidRDefault="005B0FC4">
            <w:pPr>
              <w:jc w:val="center"/>
              <w:rPr>
                <w:color w:val="000000"/>
                <w:szCs w:val="22"/>
              </w:rPr>
            </w:pPr>
            <w:r>
              <w:rPr>
                <w:color w:val="000000"/>
                <w:szCs w:val="22"/>
              </w:rPr>
              <w:t>10 %</w:t>
            </w:r>
          </w:p>
        </w:tc>
        <w:tc>
          <w:tcPr>
            <w:tcW w:w="753" w:type="pct"/>
            <w:tcBorders>
              <w:left w:val="nil"/>
              <w:right w:val="nil"/>
            </w:tcBorders>
            <w:shd w:val="clear" w:color="auto" w:fill="auto"/>
            <w:noWrap/>
            <w:vAlign w:val="center"/>
            <w:hideMark/>
          </w:tcPr>
          <w:p w14:paraId="6C74261F" w14:textId="298F36D9" w:rsidR="005B0FC4" w:rsidRPr="008C3457" w:rsidRDefault="00CC13C3">
            <w:pPr>
              <w:jc w:val="center"/>
              <w:rPr>
                <w:color w:val="000000"/>
                <w:szCs w:val="22"/>
              </w:rPr>
            </w:pPr>
            <w:r>
              <w:rPr>
                <w:color w:val="000000"/>
                <w:szCs w:val="22"/>
              </w:rPr>
              <w:t>3 %</w:t>
            </w:r>
          </w:p>
        </w:tc>
        <w:tc>
          <w:tcPr>
            <w:tcW w:w="1178" w:type="pct"/>
            <w:tcBorders>
              <w:left w:val="nil"/>
              <w:right w:val="nil"/>
            </w:tcBorders>
            <w:shd w:val="clear" w:color="auto" w:fill="auto"/>
            <w:vAlign w:val="center"/>
            <w:hideMark/>
          </w:tcPr>
          <w:p w14:paraId="3EE758DE" w14:textId="77777777" w:rsidR="005B0FC4" w:rsidRPr="008C3457" w:rsidRDefault="005B0FC4">
            <w:pPr>
              <w:jc w:val="center"/>
              <w:rPr>
                <w:color w:val="000000"/>
                <w:szCs w:val="22"/>
              </w:rPr>
            </w:pPr>
            <w:r>
              <w:rPr>
                <w:color w:val="000000"/>
                <w:szCs w:val="22"/>
              </w:rPr>
              <w:t>Empirique</w:t>
            </w:r>
          </w:p>
        </w:tc>
      </w:tr>
      <w:tr w:rsidR="00CC13C3" w:rsidRPr="008C3457" w14:paraId="6F512A5B" w14:textId="77777777" w:rsidTr="00CC13C3">
        <w:trPr>
          <w:trHeight w:val="20"/>
          <w:tblHeader/>
        </w:trPr>
        <w:tc>
          <w:tcPr>
            <w:tcW w:w="684" w:type="pct"/>
            <w:tcBorders>
              <w:left w:val="nil"/>
              <w:bottom w:val="single" w:sz="4" w:space="0" w:color="auto"/>
              <w:right w:val="nil"/>
            </w:tcBorders>
            <w:shd w:val="clear" w:color="auto" w:fill="auto"/>
            <w:vAlign w:val="center"/>
          </w:tcPr>
          <w:p w14:paraId="67711E35" w14:textId="23FE5BA6" w:rsidR="00CC13C3" w:rsidRPr="008C3457" w:rsidRDefault="00CC13C3" w:rsidP="00CC13C3">
            <w:pPr>
              <w:jc w:val="center"/>
              <w:rPr>
                <w:color w:val="000000"/>
                <w:szCs w:val="22"/>
              </w:rPr>
            </w:pPr>
            <w:r>
              <w:rPr>
                <w:color w:val="000000"/>
                <w:szCs w:val="22"/>
              </w:rPr>
              <w:t>2018</w:t>
            </w:r>
          </w:p>
        </w:tc>
        <w:tc>
          <w:tcPr>
            <w:tcW w:w="687" w:type="pct"/>
            <w:tcBorders>
              <w:left w:val="nil"/>
              <w:bottom w:val="single" w:sz="4" w:space="0" w:color="auto"/>
              <w:right w:val="nil"/>
            </w:tcBorders>
            <w:shd w:val="clear" w:color="auto" w:fill="auto"/>
            <w:noWrap/>
            <w:vAlign w:val="center"/>
          </w:tcPr>
          <w:p w14:paraId="79A0C911" w14:textId="1D834A7B" w:rsidR="00CC13C3" w:rsidRPr="008C3457" w:rsidRDefault="00CC13C3">
            <w:pPr>
              <w:jc w:val="center"/>
              <w:rPr>
                <w:color w:val="000000"/>
                <w:szCs w:val="22"/>
              </w:rPr>
            </w:pPr>
            <w:r>
              <w:rPr>
                <w:color w:val="000000"/>
                <w:szCs w:val="22"/>
              </w:rPr>
              <w:t>300</w:t>
            </w:r>
          </w:p>
        </w:tc>
        <w:tc>
          <w:tcPr>
            <w:tcW w:w="1027" w:type="pct"/>
            <w:tcBorders>
              <w:left w:val="nil"/>
              <w:bottom w:val="single" w:sz="4" w:space="0" w:color="auto"/>
              <w:right w:val="nil"/>
            </w:tcBorders>
            <w:shd w:val="clear" w:color="auto" w:fill="auto"/>
            <w:vAlign w:val="center"/>
          </w:tcPr>
          <w:p w14:paraId="284E8E02" w14:textId="27FE0D81" w:rsidR="00CC13C3" w:rsidRPr="008C3457" w:rsidRDefault="00733EBA">
            <w:pPr>
              <w:jc w:val="center"/>
              <w:rPr>
                <w:color w:val="000000"/>
                <w:szCs w:val="22"/>
              </w:rPr>
            </w:pPr>
            <w:r>
              <w:rPr>
                <w:color w:val="000000"/>
                <w:szCs w:val="22"/>
              </w:rPr>
              <w:t>45</w:t>
            </w:r>
          </w:p>
        </w:tc>
        <w:tc>
          <w:tcPr>
            <w:tcW w:w="671" w:type="pct"/>
            <w:tcBorders>
              <w:left w:val="nil"/>
              <w:bottom w:val="single" w:sz="4" w:space="0" w:color="auto"/>
              <w:right w:val="nil"/>
            </w:tcBorders>
            <w:shd w:val="clear" w:color="auto" w:fill="auto"/>
            <w:noWrap/>
            <w:vAlign w:val="center"/>
          </w:tcPr>
          <w:p w14:paraId="68AAADBA" w14:textId="1584FA9E" w:rsidR="00CC13C3" w:rsidRPr="008C3457" w:rsidRDefault="00CC13C3" w:rsidP="00CC13C3">
            <w:pPr>
              <w:jc w:val="center"/>
              <w:rPr>
                <w:color w:val="000000"/>
                <w:szCs w:val="22"/>
              </w:rPr>
            </w:pPr>
            <w:r>
              <w:rPr>
                <w:color w:val="000000"/>
                <w:szCs w:val="22"/>
              </w:rPr>
              <w:t>27 %</w:t>
            </w:r>
          </w:p>
        </w:tc>
        <w:tc>
          <w:tcPr>
            <w:tcW w:w="753" w:type="pct"/>
            <w:tcBorders>
              <w:left w:val="nil"/>
              <w:bottom w:val="single" w:sz="4" w:space="0" w:color="auto"/>
              <w:right w:val="nil"/>
            </w:tcBorders>
            <w:shd w:val="clear" w:color="auto" w:fill="auto"/>
            <w:noWrap/>
            <w:vAlign w:val="center"/>
          </w:tcPr>
          <w:p w14:paraId="76D7B1F3" w14:textId="4D4F1C93" w:rsidR="00CC13C3" w:rsidRPr="008C3457" w:rsidRDefault="00945742">
            <w:pPr>
              <w:jc w:val="center"/>
              <w:rPr>
                <w:color w:val="000000"/>
                <w:szCs w:val="22"/>
              </w:rPr>
            </w:pPr>
            <w:r>
              <w:rPr>
                <w:color w:val="000000"/>
                <w:szCs w:val="22"/>
              </w:rPr>
              <w:t>4 %</w:t>
            </w:r>
          </w:p>
        </w:tc>
        <w:tc>
          <w:tcPr>
            <w:tcW w:w="1178" w:type="pct"/>
            <w:tcBorders>
              <w:left w:val="nil"/>
              <w:bottom w:val="single" w:sz="4" w:space="0" w:color="auto"/>
              <w:right w:val="nil"/>
            </w:tcBorders>
            <w:shd w:val="clear" w:color="auto" w:fill="auto"/>
            <w:vAlign w:val="center"/>
          </w:tcPr>
          <w:p w14:paraId="4BD2C15F" w14:textId="6453687F" w:rsidR="00CC13C3" w:rsidRPr="008C3457" w:rsidRDefault="00CC13C3">
            <w:pPr>
              <w:jc w:val="center"/>
              <w:rPr>
                <w:color w:val="000000"/>
                <w:szCs w:val="22"/>
              </w:rPr>
            </w:pPr>
            <w:r>
              <w:rPr>
                <w:color w:val="000000"/>
                <w:szCs w:val="22"/>
              </w:rPr>
              <w:t>Empirique</w:t>
            </w:r>
          </w:p>
        </w:tc>
      </w:tr>
      <w:tr w:rsidR="00733EBA" w:rsidRPr="008C3457" w14:paraId="513A1C6E" w14:textId="77777777" w:rsidTr="00CC13C3">
        <w:trPr>
          <w:trHeight w:val="20"/>
          <w:tblHeader/>
        </w:trPr>
        <w:tc>
          <w:tcPr>
            <w:tcW w:w="684" w:type="pct"/>
            <w:tcBorders>
              <w:left w:val="nil"/>
              <w:bottom w:val="single" w:sz="4" w:space="0" w:color="auto"/>
              <w:right w:val="nil"/>
            </w:tcBorders>
            <w:shd w:val="clear" w:color="auto" w:fill="auto"/>
            <w:vAlign w:val="center"/>
          </w:tcPr>
          <w:p w14:paraId="5F3177C8" w14:textId="3D618206" w:rsidR="00733EBA" w:rsidRPr="008C3457" w:rsidRDefault="00733EBA" w:rsidP="00CC13C3">
            <w:pPr>
              <w:jc w:val="center"/>
              <w:rPr>
                <w:color w:val="000000"/>
                <w:szCs w:val="22"/>
              </w:rPr>
            </w:pPr>
            <w:r>
              <w:rPr>
                <w:color w:val="000000"/>
                <w:szCs w:val="22"/>
              </w:rPr>
              <w:t>2019</w:t>
            </w:r>
          </w:p>
        </w:tc>
        <w:tc>
          <w:tcPr>
            <w:tcW w:w="687" w:type="pct"/>
            <w:tcBorders>
              <w:left w:val="nil"/>
              <w:bottom w:val="single" w:sz="4" w:space="0" w:color="auto"/>
              <w:right w:val="nil"/>
            </w:tcBorders>
            <w:shd w:val="clear" w:color="auto" w:fill="auto"/>
            <w:noWrap/>
            <w:vAlign w:val="center"/>
          </w:tcPr>
          <w:p w14:paraId="07CD28D9" w14:textId="60C606C1" w:rsidR="00733EBA" w:rsidRPr="008C3457" w:rsidRDefault="00733EBA">
            <w:pPr>
              <w:jc w:val="center"/>
              <w:rPr>
                <w:color w:val="000000"/>
                <w:szCs w:val="22"/>
              </w:rPr>
            </w:pPr>
            <w:r>
              <w:rPr>
                <w:color w:val="000000"/>
                <w:szCs w:val="22"/>
              </w:rPr>
              <w:t>140</w:t>
            </w:r>
          </w:p>
        </w:tc>
        <w:tc>
          <w:tcPr>
            <w:tcW w:w="1027" w:type="pct"/>
            <w:tcBorders>
              <w:left w:val="nil"/>
              <w:bottom w:val="single" w:sz="4" w:space="0" w:color="auto"/>
              <w:right w:val="nil"/>
            </w:tcBorders>
            <w:shd w:val="clear" w:color="auto" w:fill="auto"/>
            <w:vAlign w:val="center"/>
          </w:tcPr>
          <w:p w14:paraId="64A4C39A" w14:textId="77777777" w:rsidR="00733EBA" w:rsidRPr="008C3457" w:rsidRDefault="00733EBA">
            <w:pPr>
              <w:jc w:val="center"/>
              <w:rPr>
                <w:color w:val="000000"/>
                <w:szCs w:val="22"/>
              </w:rPr>
            </w:pPr>
          </w:p>
        </w:tc>
        <w:tc>
          <w:tcPr>
            <w:tcW w:w="671" w:type="pct"/>
            <w:tcBorders>
              <w:left w:val="nil"/>
              <w:bottom w:val="single" w:sz="4" w:space="0" w:color="auto"/>
              <w:right w:val="nil"/>
            </w:tcBorders>
            <w:shd w:val="clear" w:color="auto" w:fill="auto"/>
            <w:noWrap/>
            <w:vAlign w:val="center"/>
          </w:tcPr>
          <w:p w14:paraId="1FF0E2AF" w14:textId="5858DD36" w:rsidR="00733EBA" w:rsidRPr="008C3457" w:rsidRDefault="00733EBA" w:rsidP="00CC13C3">
            <w:pPr>
              <w:jc w:val="center"/>
              <w:rPr>
                <w:color w:val="000000"/>
                <w:szCs w:val="22"/>
              </w:rPr>
            </w:pPr>
            <w:r>
              <w:rPr>
                <w:color w:val="000000"/>
                <w:szCs w:val="22"/>
              </w:rPr>
              <w:t>4 %</w:t>
            </w:r>
          </w:p>
        </w:tc>
        <w:tc>
          <w:tcPr>
            <w:tcW w:w="753" w:type="pct"/>
            <w:tcBorders>
              <w:left w:val="nil"/>
              <w:bottom w:val="single" w:sz="4" w:space="0" w:color="auto"/>
              <w:right w:val="nil"/>
            </w:tcBorders>
            <w:shd w:val="clear" w:color="auto" w:fill="auto"/>
            <w:noWrap/>
            <w:vAlign w:val="center"/>
          </w:tcPr>
          <w:p w14:paraId="77351116" w14:textId="77777777" w:rsidR="00733EBA" w:rsidRPr="008C3457" w:rsidRDefault="00733EBA">
            <w:pPr>
              <w:jc w:val="center"/>
              <w:rPr>
                <w:color w:val="000000"/>
                <w:szCs w:val="22"/>
              </w:rPr>
            </w:pPr>
          </w:p>
        </w:tc>
        <w:tc>
          <w:tcPr>
            <w:tcW w:w="1178" w:type="pct"/>
            <w:tcBorders>
              <w:left w:val="nil"/>
              <w:bottom w:val="single" w:sz="4" w:space="0" w:color="auto"/>
              <w:right w:val="nil"/>
            </w:tcBorders>
            <w:shd w:val="clear" w:color="auto" w:fill="auto"/>
            <w:vAlign w:val="center"/>
          </w:tcPr>
          <w:p w14:paraId="49DD7E11" w14:textId="6F080DC3" w:rsidR="00733EBA" w:rsidRPr="008C3457" w:rsidRDefault="00945742">
            <w:pPr>
              <w:jc w:val="center"/>
              <w:rPr>
                <w:color w:val="000000"/>
                <w:szCs w:val="22"/>
              </w:rPr>
            </w:pPr>
            <w:r>
              <w:rPr>
                <w:color w:val="000000"/>
                <w:szCs w:val="22"/>
              </w:rPr>
              <w:t>Empirique</w:t>
            </w:r>
          </w:p>
        </w:tc>
      </w:tr>
      <w:tr w:rsidR="00CD4844" w:rsidRPr="008C3457" w14:paraId="4CE40656" w14:textId="77777777" w:rsidTr="00D90C94">
        <w:trPr>
          <w:trHeight w:val="20"/>
          <w:tblHeader/>
        </w:trPr>
        <w:tc>
          <w:tcPr>
            <w:tcW w:w="684" w:type="pct"/>
            <w:tcBorders>
              <w:top w:val="single" w:sz="4" w:space="0" w:color="auto"/>
              <w:left w:val="nil"/>
              <w:bottom w:val="single" w:sz="4" w:space="0" w:color="auto"/>
              <w:right w:val="nil"/>
            </w:tcBorders>
            <w:shd w:val="clear" w:color="auto" w:fill="auto"/>
            <w:vAlign w:val="center"/>
          </w:tcPr>
          <w:p w14:paraId="2525C6F7" w14:textId="35584014" w:rsidR="00CD4844" w:rsidRPr="008C3457" w:rsidRDefault="0091557B">
            <w:pPr>
              <w:jc w:val="center"/>
              <w:rPr>
                <w:color w:val="000000"/>
                <w:szCs w:val="22"/>
              </w:rPr>
            </w:pPr>
            <w:r>
              <w:rPr>
                <w:color w:val="000000"/>
                <w:szCs w:val="22"/>
              </w:rPr>
              <w:t>Moyenne</w:t>
            </w:r>
          </w:p>
        </w:tc>
        <w:tc>
          <w:tcPr>
            <w:tcW w:w="687" w:type="pct"/>
            <w:tcBorders>
              <w:top w:val="single" w:sz="4" w:space="0" w:color="auto"/>
              <w:left w:val="nil"/>
              <w:bottom w:val="single" w:sz="4" w:space="0" w:color="auto"/>
              <w:right w:val="nil"/>
            </w:tcBorders>
            <w:shd w:val="clear" w:color="auto" w:fill="auto"/>
            <w:noWrap/>
          </w:tcPr>
          <w:p w14:paraId="354EC43A" w14:textId="34E0FF1A" w:rsidR="00CD4844" w:rsidRPr="008C3457" w:rsidRDefault="00CC13C3" w:rsidP="00945742">
            <w:pPr>
              <w:jc w:val="center"/>
              <w:rPr>
                <w:color w:val="000000"/>
                <w:szCs w:val="22"/>
              </w:rPr>
            </w:pPr>
            <w:r>
              <w:rPr>
                <w:szCs w:val="22"/>
              </w:rPr>
              <w:t>810</w:t>
            </w:r>
          </w:p>
        </w:tc>
        <w:tc>
          <w:tcPr>
            <w:tcW w:w="1027" w:type="pct"/>
            <w:tcBorders>
              <w:top w:val="single" w:sz="4" w:space="0" w:color="auto"/>
              <w:left w:val="nil"/>
              <w:bottom w:val="single" w:sz="4" w:space="0" w:color="auto"/>
              <w:right w:val="nil"/>
            </w:tcBorders>
            <w:shd w:val="clear" w:color="auto" w:fill="auto"/>
          </w:tcPr>
          <w:p w14:paraId="29CABE63" w14:textId="4DC5E3F3" w:rsidR="00CD4844" w:rsidRPr="008C3457" w:rsidRDefault="00CC13C3" w:rsidP="00945742">
            <w:pPr>
              <w:jc w:val="center"/>
              <w:rPr>
                <w:color w:val="000000"/>
                <w:szCs w:val="22"/>
              </w:rPr>
            </w:pPr>
            <w:r>
              <w:rPr>
                <w:szCs w:val="22"/>
              </w:rPr>
              <w:t>416</w:t>
            </w:r>
          </w:p>
        </w:tc>
        <w:tc>
          <w:tcPr>
            <w:tcW w:w="671" w:type="pct"/>
            <w:tcBorders>
              <w:top w:val="single" w:sz="4" w:space="0" w:color="auto"/>
              <w:left w:val="nil"/>
              <w:bottom w:val="single" w:sz="4" w:space="0" w:color="auto"/>
              <w:right w:val="nil"/>
            </w:tcBorders>
            <w:shd w:val="clear" w:color="auto" w:fill="auto"/>
            <w:noWrap/>
          </w:tcPr>
          <w:p w14:paraId="61F6A338" w14:textId="3F68B4E6" w:rsidR="00CD4844" w:rsidRPr="008C3457" w:rsidRDefault="00CC13C3" w:rsidP="00CC13C3">
            <w:pPr>
              <w:jc w:val="center"/>
              <w:rPr>
                <w:color w:val="000000"/>
                <w:szCs w:val="22"/>
              </w:rPr>
            </w:pPr>
            <w:r>
              <w:rPr>
                <w:szCs w:val="22"/>
              </w:rPr>
              <w:t>8 %</w:t>
            </w:r>
            <w:r>
              <w:rPr>
                <w:szCs w:val="22"/>
                <w:vertAlign w:val="superscript"/>
              </w:rPr>
              <w:t>1</w:t>
            </w:r>
          </w:p>
        </w:tc>
        <w:tc>
          <w:tcPr>
            <w:tcW w:w="753" w:type="pct"/>
            <w:tcBorders>
              <w:top w:val="single" w:sz="4" w:space="0" w:color="auto"/>
              <w:left w:val="nil"/>
              <w:bottom w:val="single" w:sz="4" w:space="0" w:color="auto"/>
              <w:right w:val="nil"/>
            </w:tcBorders>
            <w:shd w:val="clear" w:color="auto" w:fill="auto"/>
            <w:noWrap/>
          </w:tcPr>
          <w:p w14:paraId="4DE09194" w14:textId="548362DC" w:rsidR="00CD4844" w:rsidRPr="008C3457" w:rsidRDefault="00945742" w:rsidP="00945742">
            <w:pPr>
              <w:jc w:val="center"/>
              <w:rPr>
                <w:color w:val="000000"/>
                <w:szCs w:val="22"/>
              </w:rPr>
            </w:pPr>
            <w:r>
              <w:rPr>
                <w:szCs w:val="22"/>
              </w:rPr>
              <w:t>3 %</w:t>
            </w:r>
          </w:p>
        </w:tc>
        <w:tc>
          <w:tcPr>
            <w:tcW w:w="1178" w:type="pct"/>
            <w:tcBorders>
              <w:top w:val="single" w:sz="4" w:space="0" w:color="auto"/>
              <w:left w:val="nil"/>
              <w:bottom w:val="single" w:sz="4" w:space="0" w:color="auto"/>
              <w:right w:val="nil"/>
            </w:tcBorders>
            <w:shd w:val="clear" w:color="auto" w:fill="auto"/>
            <w:vAlign w:val="center"/>
          </w:tcPr>
          <w:p w14:paraId="3B3DCCBB" w14:textId="77777777" w:rsidR="00CD4844" w:rsidRPr="008C3457" w:rsidRDefault="00CD4844">
            <w:pPr>
              <w:jc w:val="center"/>
              <w:rPr>
                <w:color w:val="000000"/>
                <w:szCs w:val="22"/>
              </w:rPr>
            </w:pPr>
          </w:p>
        </w:tc>
      </w:tr>
    </w:tbl>
    <w:p w14:paraId="6ADD7204" w14:textId="535FD8FE" w:rsidR="00A151A3" w:rsidRPr="005A142E" w:rsidRDefault="00422B5F" w:rsidP="005A142E">
      <w:pPr>
        <w:rPr>
          <w:b/>
          <w:sz w:val="16"/>
          <w:szCs w:val="16"/>
        </w:rPr>
      </w:pPr>
      <w:r w:rsidRPr="005A142E">
        <w:rPr>
          <w:b/>
          <w:sz w:val="16"/>
          <w:szCs w:val="16"/>
          <w:vertAlign w:val="superscript"/>
        </w:rPr>
        <w:t>1</w:t>
      </w:r>
      <w:r w:rsidRPr="005A142E">
        <w:rPr>
          <w:sz w:val="16"/>
          <w:szCs w:val="16"/>
        </w:rPr>
        <w:t xml:space="preserve"> Le quota moyen/moyenne pour les années 2010-2017 est de 6 %.</w:t>
      </w:r>
    </w:p>
    <w:p w14:paraId="2B56F0D9" w14:textId="5B3FD2C3" w:rsidR="006C31E6" w:rsidRPr="008C3457" w:rsidRDefault="005A142E" w:rsidP="005A142E">
      <w:pPr>
        <w:pStyle w:val="Heading2"/>
      </w:pPr>
      <w:proofErr w:type="spellStart"/>
      <w:r>
        <w:rPr>
          <w:caps w:val="0"/>
        </w:rPr>
        <w:t>Considérations</w:t>
      </w:r>
      <w:proofErr w:type="spellEnd"/>
      <w:r>
        <w:rPr>
          <w:caps w:val="0"/>
        </w:rPr>
        <w:t xml:space="preserve"> </w:t>
      </w:r>
      <w:proofErr w:type="spellStart"/>
      <w:r>
        <w:rPr>
          <w:caps w:val="0"/>
        </w:rPr>
        <w:t>particulières</w:t>
      </w:r>
      <w:proofErr w:type="spellEnd"/>
    </w:p>
    <w:p w14:paraId="0864A719" w14:textId="1A2333E4" w:rsidR="00453E2E" w:rsidRPr="008C3457" w:rsidRDefault="00C72FDA" w:rsidP="00905DDA">
      <w:pPr>
        <w:pStyle w:val="ListParagraph"/>
        <w:numPr>
          <w:ilvl w:val="0"/>
          <w:numId w:val="21"/>
        </w:numPr>
        <w:ind w:left="360"/>
      </w:pPr>
      <w:r>
        <w:t>Les résultats des relevés les plus récents sont considérés comme valables pour utilisation dans l</w:t>
      </w:r>
      <w:r w:rsidR="00D62505">
        <w:t>’</w:t>
      </w:r>
      <w:r>
        <w:t xml:space="preserve">approche empirique. </w:t>
      </w:r>
    </w:p>
    <w:p w14:paraId="454E00F1" w14:textId="6BC5A36E" w:rsidR="009427E0" w:rsidRDefault="00C72FDA" w:rsidP="00905DDA">
      <w:pPr>
        <w:pStyle w:val="ListParagraph"/>
        <w:numPr>
          <w:ilvl w:val="0"/>
          <w:numId w:val="21"/>
        </w:numPr>
        <w:ind w:left="360"/>
      </w:pPr>
      <w:r>
        <w:t xml:space="preserve">Les estimations </w:t>
      </w:r>
      <w:proofErr w:type="spellStart"/>
      <w:r>
        <w:t>préliminaires</w:t>
      </w:r>
      <w:proofErr w:type="spellEnd"/>
      <w:r>
        <w:t xml:space="preserve"> de la </w:t>
      </w:r>
      <w:proofErr w:type="spellStart"/>
      <w:r>
        <w:t>capturabilité</w:t>
      </w:r>
      <w:proofErr w:type="spellEnd"/>
      <w:r>
        <w:t xml:space="preserve"> des nouveaux </w:t>
      </w:r>
      <w:proofErr w:type="spellStart"/>
      <w:r>
        <w:t>relevés</w:t>
      </w:r>
      <w:proofErr w:type="spellEnd"/>
      <w:r>
        <w:t xml:space="preserve"> fondées sur des renseignements supplémentaires ont été examinées au cours des réunions. Les nouvelles estimations sont similaires à la valeur actuellement utilisée. La poursuite des </w:t>
      </w:r>
      <w:proofErr w:type="spellStart"/>
      <w:r>
        <w:t>travaux</w:t>
      </w:r>
      <w:proofErr w:type="spellEnd"/>
      <w:r>
        <w:t xml:space="preserve"> sur la </w:t>
      </w:r>
      <w:proofErr w:type="spellStart"/>
      <w:r>
        <w:t>capturabilité</w:t>
      </w:r>
      <w:proofErr w:type="spellEnd"/>
      <w:r>
        <w:t xml:space="preserve"> des </w:t>
      </w:r>
      <w:proofErr w:type="spellStart"/>
      <w:r>
        <w:t>relevés</w:t>
      </w:r>
      <w:proofErr w:type="spellEnd"/>
      <w:r>
        <w:t xml:space="preserve"> </w:t>
      </w:r>
      <w:proofErr w:type="spellStart"/>
      <w:r>
        <w:t>pourrait</w:t>
      </w:r>
      <w:proofErr w:type="spellEnd"/>
      <w:r>
        <w:t xml:space="preserve"> modifier les résultats de l</w:t>
      </w:r>
      <w:r w:rsidR="00D62505">
        <w:t>’</w:t>
      </w:r>
      <w:r>
        <w:t>approche empirique, mais rien n</w:t>
      </w:r>
      <w:r w:rsidR="00D62505">
        <w:t>’</w:t>
      </w:r>
      <w:r>
        <w:t>indique à ce jour que ces changements entraîneraient d</w:t>
      </w:r>
      <w:r w:rsidR="00D62505">
        <w:t>’</w:t>
      </w:r>
      <w:r>
        <w:t>important</w:t>
      </w:r>
      <w:r w:rsidR="00933C4F">
        <w:t>e</w:t>
      </w:r>
      <w:r>
        <w:t xml:space="preserve">s </w:t>
      </w:r>
      <w:r w:rsidR="00933C4F">
        <w:t>modifications aux</w:t>
      </w:r>
      <w:r>
        <w:t xml:space="preserve"> conseils sur les prises. </w:t>
      </w:r>
      <w:r w:rsidR="009427E0">
        <w:br w:type="page"/>
      </w:r>
    </w:p>
    <w:p w14:paraId="70EA6924" w14:textId="4C69C9FE" w:rsidR="00DC56C4" w:rsidRPr="00ED429B" w:rsidRDefault="005A142E" w:rsidP="005A142E">
      <w:pPr>
        <w:pStyle w:val="Heading2"/>
      </w:pPr>
      <w:bookmarkStart w:id="0" w:name="_GoBack"/>
      <w:bookmarkEnd w:id="0"/>
      <w:r w:rsidRPr="00ED429B">
        <w:rPr>
          <w:caps w:val="0"/>
        </w:rPr>
        <w:t xml:space="preserve">Documents sources </w:t>
      </w:r>
    </w:p>
    <w:p w14:paraId="257FC17C" w14:textId="01655AB1" w:rsidR="00C72FDA" w:rsidRPr="00ED429B" w:rsidRDefault="00C72FDA" w:rsidP="005A142E">
      <w:pPr>
        <w:pStyle w:val="citation"/>
      </w:pPr>
      <w:r w:rsidRPr="00ED429B">
        <w:t>Clark, K. and E.N. Brooks, editors. 2017. Proceedings of the Transboundary Resources Assessment Committee (TRAC): Eastern Georges Bank Cod and Haddock, and Georges Bank Yellowtail Flounder: Report of Meeting held 11-14 July 2017. TRAC Proceedings 2017/01.</w:t>
      </w:r>
    </w:p>
    <w:p w14:paraId="01653BCE" w14:textId="77777777" w:rsidR="005A142E" w:rsidRDefault="005A142E" w:rsidP="005A142E">
      <w:pPr>
        <w:pStyle w:val="citation"/>
        <w:rPr>
          <w:lang w:val="fr-CA"/>
        </w:rPr>
      </w:pPr>
      <w:r w:rsidRPr="005A142E">
        <w:rPr>
          <w:lang w:val="fr-CA"/>
        </w:rPr>
        <w:lastRenderedPageBreak/>
        <w:t xml:space="preserve">Clark, K.J. et </w:t>
      </w:r>
      <w:proofErr w:type="spellStart"/>
      <w:r w:rsidRPr="005A142E">
        <w:rPr>
          <w:lang w:val="fr-CA"/>
        </w:rPr>
        <w:t>Trinko</w:t>
      </w:r>
      <w:proofErr w:type="spellEnd"/>
      <w:r w:rsidRPr="005A142E">
        <w:rPr>
          <w:lang w:val="fr-CA"/>
        </w:rPr>
        <w:t>-Lake, T. 2020. Compte rendu de la réunion de 2019 du Comité d’évaluation des ressources transfrontalières pour la morue et l’aiglefin de l’est du banc Georges et la limande à queue jaune du banc Georges. Compte rendu du CERT 2019/001.</w:t>
      </w:r>
    </w:p>
    <w:p w14:paraId="367EAA22" w14:textId="3251A64A" w:rsidR="008F4FC4" w:rsidRPr="00ED429B" w:rsidRDefault="00EF5568" w:rsidP="005A142E">
      <w:pPr>
        <w:pStyle w:val="citation"/>
        <w:rPr>
          <w:i/>
        </w:rPr>
      </w:pPr>
      <w:r w:rsidRPr="005A142E">
        <w:rPr>
          <w:lang w:val="en-US"/>
        </w:rPr>
        <w:t xml:space="preserve">O’Brien, L., and K. Clark, editors. </w:t>
      </w:r>
      <w:r w:rsidRPr="00ED429B">
        <w:t>2014. Proceedings of the Transboundary Resources Assessment Committee for Georges Bank Yellowtail Flounder Diagnostic and Empirical Approach Benchmark: Report of Meeting held 14-18 April 2014. TRAC Proceedings 2014/01.</w:t>
      </w:r>
    </w:p>
    <w:p w14:paraId="69389F3A" w14:textId="15C56A53" w:rsidR="00DC56C4" w:rsidRPr="00ED429B" w:rsidRDefault="00673B48" w:rsidP="005A142E">
      <w:pPr>
        <w:pStyle w:val="citation"/>
        <w:rPr>
          <w:i/>
        </w:rPr>
      </w:pPr>
      <w:proofErr w:type="spellStart"/>
      <w:r w:rsidRPr="00ED429B">
        <w:t>Le</w:t>
      </w:r>
      <w:r w:rsidR="005A142E">
        <w:t>gault</w:t>
      </w:r>
      <w:proofErr w:type="spellEnd"/>
      <w:r w:rsidR="005A142E">
        <w:t>, C.M., and M. Finley. 2020</w:t>
      </w:r>
      <w:r w:rsidRPr="00ED429B">
        <w:t xml:space="preserve">. Stock Assessment of Georges Bank Yellowtail Flounder for 2019. TRAC Reference Document </w:t>
      </w:r>
      <w:r w:rsidRPr="005A142E">
        <w:rPr>
          <w:color w:val="000000" w:themeColor="text1"/>
        </w:rPr>
        <w:t>2019/</w:t>
      </w:r>
      <w:r w:rsidR="005A142E" w:rsidRPr="005A142E">
        <w:rPr>
          <w:color w:val="000000" w:themeColor="text1"/>
        </w:rPr>
        <w:t>05</w:t>
      </w:r>
      <w:r w:rsidRPr="005A142E">
        <w:rPr>
          <w:i/>
          <w:color w:val="000000" w:themeColor="text1"/>
        </w:rPr>
        <w:t>.</w:t>
      </w:r>
    </w:p>
    <w:p w14:paraId="3541BCAC" w14:textId="458CA86F" w:rsidR="00DC56C4" w:rsidRPr="006E471D" w:rsidRDefault="006E471D" w:rsidP="005A142E">
      <w:pPr>
        <w:pStyle w:val="Heading2"/>
        <w:rPr>
          <w:lang w:val="fr-CA"/>
        </w:rPr>
      </w:pPr>
      <w:r w:rsidRPr="006E471D">
        <w:rPr>
          <w:caps w:val="0"/>
          <w:lang w:val="fr-CA"/>
        </w:rPr>
        <w:t>Citée comme suit</w:t>
      </w:r>
    </w:p>
    <w:p w14:paraId="4FEE01F6" w14:textId="5AEADF81" w:rsidR="00E049B3" w:rsidRPr="008C3457" w:rsidRDefault="005A142E" w:rsidP="005A142E">
      <w:pPr>
        <w:pStyle w:val="citation"/>
      </w:pPr>
      <w:r>
        <w:t>TRAC. 2020</w:t>
      </w:r>
      <w:r w:rsidR="00673B48" w:rsidRPr="00ED429B">
        <w:t xml:space="preserve">. Georges Bank Yellowtail Flounder. </w:t>
      </w:r>
      <w:r w:rsidR="00673B48" w:rsidRPr="00BE6AA0">
        <w:t xml:space="preserve">TRAC Status Report 2019/02. </w:t>
      </w:r>
      <w:r w:rsidR="00673B48">
        <w:br w:type="page"/>
      </w:r>
    </w:p>
    <w:p w14:paraId="1B1ED877" w14:textId="77777777" w:rsidR="00ED429B" w:rsidRDefault="00ED429B" w:rsidP="00ED429B">
      <w:pPr>
        <w:spacing w:before="240"/>
        <w:jc w:val="center"/>
        <w:rPr>
          <w:i/>
        </w:rPr>
      </w:pPr>
      <w:r>
        <w:rPr>
          <w:noProof/>
        </w:rPr>
        <w:lastRenderedPageBreak/>
        <w:drawing>
          <wp:inline distT="0" distB="0" distL="0" distR="0" wp14:anchorId="0C520D7B" wp14:editId="32F439A2">
            <wp:extent cx="5499100" cy="3616716"/>
            <wp:effectExtent l="0" t="0" r="6350" b="3175"/>
            <wp:docPr id="1" name="Picture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04621" cy="3620347"/>
                    </a:xfrm>
                    <a:prstGeom prst="rect">
                      <a:avLst/>
                    </a:prstGeom>
                  </pic:spPr>
                </pic:pic>
              </a:graphicData>
            </a:graphic>
          </wp:inline>
        </w:drawing>
      </w:r>
    </w:p>
    <w:p w14:paraId="175CAABC" w14:textId="67D2C00E" w:rsidR="00390548" w:rsidRPr="008C3457" w:rsidRDefault="00945742" w:rsidP="005A142E">
      <w:pPr>
        <w:pStyle w:val="Caption-Figure"/>
      </w:pPr>
      <w:r>
        <w:t>Figure 1. Prises et quotas pour la limande à queue jaune du banc de Georges.</w:t>
      </w:r>
    </w:p>
    <w:p w14:paraId="0A660746" w14:textId="593C3CD4" w:rsidR="006512E8" w:rsidRPr="008C3457" w:rsidRDefault="00ED429B" w:rsidP="00D90C94">
      <w:pPr>
        <w:jc w:val="center"/>
        <w:rPr>
          <w:i/>
        </w:rPr>
      </w:pPr>
      <w:r>
        <w:rPr>
          <w:noProof/>
        </w:rPr>
        <w:drawing>
          <wp:inline distT="0" distB="0" distL="0" distR="0" wp14:anchorId="4F4DAA9A" wp14:editId="075E74B7">
            <wp:extent cx="5829300" cy="3677566"/>
            <wp:effectExtent l="0" t="0" r="0" b="0"/>
            <wp:docPr id="6" name="Picture 6"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32800" cy="3679774"/>
                    </a:xfrm>
                    <a:prstGeom prst="rect">
                      <a:avLst/>
                    </a:prstGeom>
                  </pic:spPr>
                </pic:pic>
              </a:graphicData>
            </a:graphic>
          </wp:inline>
        </w:drawing>
      </w:r>
    </w:p>
    <w:p w14:paraId="590EB7A7" w14:textId="03D2B8AD" w:rsidR="00D84F0A" w:rsidRPr="008C3457" w:rsidRDefault="00CC72B8" w:rsidP="005A142E">
      <w:pPr>
        <w:pStyle w:val="Caption-Figure"/>
      </w:pPr>
      <w:r>
        <w:t>Figure 2. Mortalité relative F (prises en tm divisées par les prises au cours des relevés en kg par trait) mise à l</w:t>
      </w:r>
      <w:r w:rsidR="00D62505">
        <w:t>’</w:t>
      </w:r>
      <w:r>
        <w:t>échelle de la valeur moyenne pendant la période de 1987 à 2007 pour les trois relevés. Veuillez consulter la note sur l</w:t>
      </w:r>
      <w:r w:rsidR="00D62505">
        <w:t>’</w:t>
      </w:r>
      <w:r>
        <w:t>état de la ressource au sujet des faibles prises récentes dans le cadre du relevé.</w:t>
      </w:r>
    </w:p>
    <w:p w14:paraId="29E38E1C" w14:textId="5C8DCE5F" w:rsidR="00CC72B8" w:rsidRPr="008C3457" w:rsidRDefault="00ED429B" w:rsidP="00D90C94">
      <w:pPr>
        <w:jc w:val="center"/>
        <w:rPr>
          <w:i/>
        </w:rPr>
      </w:pPr>
      <w:r>
        <w:rPr>
          <w:noProof/>
        </w:rPr>
        <w:lastRenderedPageBreak/>
        <w:drawing>
          <wp:inline distT="0" distB="0" distL="0" distR="0" wp14:anchorId="67A1ADF5" wp14:editId="5FF1D715">
            <wp:extent cx="5943600" cy="7240905"/>
            <wp:effectExtent l="0" t="0" r="0" b="0"/>
            <wp:docPr id="7" name="Picture 7" descr="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7240905"/>
                    </a:xfrm>
                    <a:prstGeom prst="rect">
                      <a:avLst/>
                    </a:prstGeom>
                  </pic:spPr>
                </pic:pic>
              </a:graphicData>
            </a:graphic>
          </wp:inline>
        </w:drawing>
      </w:r>
    </w:p>
    <w:p w14:paraId="204EE69E" w14:textId="00CC0E63" w:rsidR="00CC72B8" w:rsidRPr="008C3457" w:rsidRDefault="00CC72B8" w:rsidP="005A142E">
      <w:pPr>
        <w:pStyle w:val="Caption-Figure"/>
      </w:pPr>
      <w:r>
        <w:t>Figure 3. Mortalité totale (Z) dans les trois relevés à l</w:t>
      </w:r>
      <w:r w:rsidR="00D62505">
        <w:t>’</w:t>
      </w:r>
      <w:r>
        <w:t>aide de la méthode de Sinclair avec un créneau mobile de quatre ans pour les âges 3 à 8. Veuillez consulter la note sur l</w:t>
      </w:r>
      <w:r w:rsidR="00D62505">
        <w:t>’</w:t>
      </w:r>
      <w:r>
        <w:t>état de la ressource au sujet des prises récentes dans le cadre du relevé.</w:t>
      </w:r>
    </w:p>
    <w:p w14:paraId="424600FB" w14:textId="631A76E7" w:rsidR="00490847" w:rsidRPr="008C3457" w:rsidRDefault="00ED429B" w:rsidP="00A029D4">
      <w:pPr>
        <w:jc w:val="center"/>
        <w:rPr>
          <w:i/>
        </w:rPr>
      </w:pPr>
      <w:r>
        <w:rPr>
          <w:noProof/>
        </w:rPr>
        <w:lastRenderedPageBreak/>
        <w:drawing>
          <wp:inline distT="0" distB="0" distL="0" distR="0" wp14:anchorId="2C68C9CD" wp14:editId="0C92642E">
            <wp:extent cx="5758184" cy="6705600"/>
            <wp:effectExtent l="0" t="0" r="0" b="0"/>
            <wp:docPr id="12" name="Picture 12" descr="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5631" cy="6714273"/>
                    </a:xfrm>
                    <a:prstGeom prst="rect">
                      <a:avLst/>
                    </a:prstGeom>
                  </pic:spPr>
                </pic:pic>
              </a:graphicData>
            </a:graphic>
          </wp:inline>
        </w:drawing>
      </w:r>
    </w:p>
    <w:p w14:paraId="68CB8768" w14:textId="656EDC16" w:rsidR="00D84F0A" w:rsidRPr="008C3457" w:rsidRDefault="00D84F0A" w:rsidP="005A142E">
      <w:pPr>
        <w:pStyle w:val="Caption-Figure"/>
      </w:pPr>
      <w:r>
        <w:t>Figure 4. Estimations du recrutement (l</w:t>
      </w:r>
      <w:r w:rsidR="00D62505">
        <w:t>’</w:t>
      </w:r>
      <w:r>
        <w:t>âge 1 a beaucoup de zéros, donc l</w:t>
      </w:r>
      <w:r w:rsidR="00D62505">
        <w:t>’</w:t>
      </w:r>
      <w:r>
        <w:t xml:space="preserve">âge 2 est aussi indiqué) à partir des trois relevés au chalut de fond. </w:t>
      </w:r>
    </w:p>
    <w:p w14:paraId="7392B317" w14:textId="197A0D05" w:rsidR="00263DAF" w:rsidRPr="008C3457" w:rsidRDefault="00ED429B" w:rsidP="005A142E">
      <w:pPr>
        <w:pStyle w:val="Caption-Figure"/>
      </w:pPr>
      <w:r>
        <w:rPr>
          <w:noProof/>
        </w:rPr>
        <w:lastRenderedPageBreak/>
        <w:drawing>
          <wp:inline distT="0" distB="0" distL="0" distR="0" wp14:anchorId="2D635208" wp14:editId="106E4F3A">
            <wp:extent cx="5943600" cy="3894455"/>
            <wp:effectExtent l="0" t="0" r="0" b="0"/>
            <wp:docPr id="13" name="Picture 13" descr="Fig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3894455"/>
                    </a:xfrm>
                    <a:prstGeom prst="rect">
                      <a:avLst/>
                    </a:prstGeom>
                  </pic:spPr>
                </pic:pic>
              </a:graphicData>
            </a:graphic>
          </wp:inline>
        </w:drawing>
      </w:r>
      <w:r w:rsidR="00945742">
        <w:t>Figure 5. Taux de prises dans les relevés au chalut de fond (en biomasse) pour la limande à queue jaune de l</w:t>
      </w:r>
      <w:r w:rsidR="00D62505">
        <w:t>’</w:t>
      </w:r>
      <w:r w:rsidR="00945742">
        <w:t xml:space="preserve">est du banc de Georges (cercles pleins) avec des intervalles de confiance de 90 % (zone grise). Il est important de noter que la superficie de la zone du banc de Georges couverte dans les relevés du MPO et du NMFS diffère et que les relevés du NMFS ont été normalisés par rapport aux unités établies par le </w:t>
      </w:r>
      <w:proofErr w:type="spellStart"/>
      <w:r w:rsidR="00945742">
        <w:t>navire</w:t>
      </w:r>
      <w:proofErr w:type="spellEnd"/>
      <w:r w:rsidR="00945742">
        <w:t xml:space="preserve"> Albatross.</w:t>
      </w:r>
    </w:p>
    <w:sectPr w:rsidR="00263DAF" w:rsidRPr="008C3457" w:rsidSect="00EA0794">
      <w:headerReference w:type="even" r:id="rId20"/>
      <w:headerReference w:type="default" r:id="rId21"/>
      <w:headerReference w:type="first" r:id="rId22"/>
      <w:type w:val="continuous"/>
      <w:pgSz w:w="12240" w:h="15840" w:code="1"/>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1633B" w14:textId="77777777" w:rsidR="00C34CEC" w:rsidRPr="008C3457" w:rsidRDefault="00C34CEC">
      <w:r w:rsidRPr="008C3457">
        <w:separator/>
      </w:r>
    </w:p>
  </w:endnote>
  <w:endnote w:type="continuationSeparator" w:id="0">
    <w:p w14:paraId="72E4F08F" w14:textId="77777777" w:rsidR="00C34CEC" w:rsidRPr="008C3457" w:rsidRDefault="00C34CEC">
      <w:r w:rsidRPr="008C34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04FD9" w14:textId="77777777" w:rsidR="00CC13C3" w:rsidRPr="008C3457" w:rsidRDefault="00CC13C3">
    <w:pPr>
      <w:pStyle w:val="Footer"/>
      <w:framePr w:wrap="around" w:vAnchor="text" w:hAnchor="margin" w:xAlign="center" w:y="1"/>
      <w:rPr>
        <w:rStyle w:val="PageNumber"/>
      </w:rPr>
    </w:pPr>
    <w:r w:rsidRPr="008C3457">
      <w:rPr>
        <w:rStyle w:val="PageNumber"/>
      </w:rPr>
      <w:fldChar w:fldCharType="begin"/>
    </w:r>
    <w:r w:rsidRPr="008C3457">
      <w:rPr>
        <w:rStyle w:val="PageNumber"/>
      </w:rPr>
      <w:instrText xml:space="preserve">PAGE  </w:instrText>
    </w:r>
    <w:r w:rsidRPr="008C3457">
      <w:rPr>
        <w:rStyle w:val="PageNumber"/>
      </w:rPr>
      <w:fldChar w:fldCharType="separate"/>
    </w:r>
    <w:r w:rsidRPr="008C3457">
      <w:rPr>
        <w:rStyle w:val="PageNumber"/>
      </w:rPr>
      <w:t>6</w:t>
    </w:r>
    <w:r w:rsidRPr="008C3457">
      <w:rPr>
        <w:rStyle w:val="PageNumber"/>
      </w:rPr>
      <w:fldChar w:fldCharType="end"/>
    </w:r>
  </w:p>
  <w:p w14:paraId="7624157D" w14:textId="77777777" w:rsidR="00CC13C3" w:rsidRPr="008C3457" w:rsidRDefault="00CC13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D816C" w14:textId="761CB6A0" w:rsidR="00CC13C3" w:rsidRPr="008C3457" w:rsidRDefault="00CC13C3">
    <w:pPr>
      <w:pStyle w:val="Footer"/>
      <w:pBdr>
        <w:top w:val="single" w:sz="4" w:space="1" w:color="auto"/>
      </w:pBdr>
      <w:jc w:val="center"/>
    </w:pPr>
    <w:r w:rsidRPr="008C3457">
      <w:rPr>
        <w:rStyle w:val="PageNumber"/>
      </w:rPr>
      <w:fldChar w:fldCharType="begin"/>
    </w:r>
    <w:r w:rsidRPr="008C3457">
      <w:rPr>
        <w:rStyle w:val="PageNumber"/>
      </w:rPr>
      <w:instrText xml:space="preserve"> PAGE </w:instrText>
    </w:r>
    <w:r w:rsidRPr="008C3457">
      <w:rPr>
        <w:rStyle w:val="PageNumber"/>
      </w:rPr>
      <w:fldChar w:fldCharType="separate"/>
    </w:r>
    <w:r w:rsidR="009427E0">
      <w:rPr>
        <w:rStyle w:val="PageNumber"/>
        <w:noProof/>
      </w:rPr>
      <w:t>9</w:t>
    </w:r>
    <w:r w:rsidRPr="008C345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Ind w:w="81" w:type="dxa"/>
      <w:tblBorders>
        <w:top w:val="single" w:sz="4" w:space="0" w:color="auto"/>
      </w:tblBorders>
      <w:tblLayout w:type="fixed"/>
      <w:tblLook w:val="01E0" w:firstRow="1" w:lastRow="1" w:firstColumn="1" w:lastColumn="1" w:noHBand="0" w:noVBand="0"/>
    </w:tblPr>
    <w:tblGrid>
      <w:gridCol w:w="3447"/>
      <w:gridCol w:w="630"/>
      <w:gridCol w:w="540"/>
      <w:gridCol w:w="630"/>
      <w:gridCol w:w="3825"/>
    </w:tblGrid>
    <w:tr w:rsidR="00665986" w:rsidRPr="000004FB" w14:paraId="56A625C9" w14:textId="77777777" w:rsidTr="00AE4801">
      <w:tc>
        <w:tcPr>
          <w:tcW w:w="4077" w:type="dxa"/>
          <w:gridSpan w:val="2"/>
          <w:tcBorders>
            <w:top w:val="single" w:sz="4" w:space="0" w:color="auto"/>
            <w:bottom w:val="nil"/>
          </w:tcBorders>
        </w:tcPr>
        <w:p w14:paraId="2FC42B58" w14:textId="77777777" w:rsidR="00665986" w:rsidRPr="000004FB" w:rsidRDefault="00665986" w:rsidP="00665986">
          <w:pPr>
            <w:pStyle w:val="Footer"/>
            <w:rPr>
              <w:spacing w:val="-3"/>
              <w:sz w:val="16"/>
              <w:szCs w:val="16"/>
              <w:lang w:val="fr-CA"/>
            </w:rPr>
          </w:pPr>
          <w:r w:rsidRPr="000004FB">
            <w:rPr>
              <w:spacing w:val="-3"/>
              <w:sz w:val="16"/>
              <w:szCs w:val="16"/>
              <w:lang w:val="fr-CA"/>
            </w:rPr>
            <w:t>Ce document est disponible sur l’Internet à :</w:t>
          </w:r>
        </w:p>
      </w:tc>
      <w:tc>
        <w:tcPr>
          <w:tcW w:w="540" w:type="dxa"/>
          <w:tcBorders>
            <w:top w:val="single" w:sz="4" w:space="0" w:color="auto"/>
            <w:bottom w:val="nil"/>
          </w:tcBorders>
        </w:tcPr>
        <w:p w14:paraId="13BF9CE6" w14:textId="77777777" w:rsidR="00665986" w:rsidRPr="000004FB" w:rsidRDefault="00665986" w:rsidP="00665986">
          <w:pPr>
            <w:pStyle w:val="Footer"/>
            <w:jc w:val="center"/>
            <w:rPr>
              <w:spacing w:val="-3"/>
              <w:sz w:val="16"/>
              <w:szCs w:val="16"/>
              <w:lang w:val="fr-CA"/>
            </w:rPr>
          </w:pPr>
        </w:p>
      </w:tc>
      <w:tc>
        <w:tcPr>
          <w:tcW w:w="4455" w:type="dxa"/>
          <w:gridSpan w:val="2"/>
          <w:tcBorders>
            <w:top w:val="single" w:sz="4" w:space="0" w:color="auto"/>
            <w:bottom w:val="nil"/>
          </w:tcBorders>
        </w:tcPr>
        <w:p w14:paraId="38F2D36F" w14:textId="77777777" w:rsidR="00665986" w:rsidRPr="000004FB" w:rsidRDefault="00665986" w:rsidP="00665986">
          <w:pPr>
            <w:pStyle w:val="Footer"/>
            <w:jc w:val="right"/>
            <w:rPr>
              <w:spacing w:val="-3"/>
              <w:sz w:val="16"/>
              <w:szCs w:val="16"/>
              <w:lang w:val="en-CA"/>
            </w:rPr>
          </w:pPr>
          <w:r w:rsidRPr="000004FB">
            <w:rPr>
              <w:spacing w:val="-3"/>
              <w:sz w:val="16"/>
              <w:szCs w:val="16"/>
              <w:lang w:val="en-CA"/>
            </w:rPr>
            <w:t>This document is available on the Internet at :</w:t>
          </w:r>
        </w:p>
      </w:tc>
    </w:tr>
    <w:tr w:rsidR="00665986" w:rsidRPr="000004FB" w14:paraId="2832A506" w14:textId="77777777" w:rsidTr="00AE4801">
      <w:tc>
        <w:tcPr>
          <w:tcW w:w="9072" w:type="dxa"/>
          <w:gridSpan w:val="5"/>
          <w:tcBorders>
            <w:top w:val="nil"/>
            <w:bottom w:val="single" w:sz="4" w:space="0" w:color="auto"/>
          </w:tcBorders>
        </w:tcPr>
        <w:p w14:paraId="3F046F67" w14:textId="77777777" w:rsidR="00665986" w:rsidRPr="000004FB" w:rsidRDefault="009427E0" w:rsidP="00665986">
          <w:pPr>
            <w:pStyle w:val="Footer"/>
            <w:jc w:val="center"/>
            <w:rPr>
              <w:spacing w:val="-3"/>
              <w:sz w:val="16"/>
              <w:szCs w:val="16"/>
              <w:lang w:val="en-CA"/>
            </w:rPr>
          </w:pPr>
          <w:hyperlink r:id="rId1" w:history="1">
            <w:r w:rsidR="00665986" w:rsidRPr="00F80114">
              <w:rPr>
                <w:rStyle w:val="Hyperlink"/>
                <w:spacing w:val="-3"/>
                <w:sz w:val="16"/>
                <w:szCs w:val="16"/>
                <w:lang w:val="en-CA"/>
              </w:rPr>
              <w:t>http://www.bio.gc.ca/info/intercol/trac-cert/index-eng.php</w:t>
            </w:r>
          </w:hyperlink>
          <w:r w:rsidR="00665986">
            <w:rPr>
              <w:spacing w:val="-3"/>
              <w:sz w:val="16"/>
              <w:szCs w:val="16"/>
              <w:lang w:val="en-CA"/>
            </w:rPr>
            <w:t xml:space="preserve"> </w:t>
          </w:r>
        </w:p>
      </w:tc>
    </w:tr>
    <w:tr w:rsidR="00665986" w:rsidRPr="000004FB" w14:paraId="3E7FBCC3" w14:textId="77777777" w:rsidTr="00AE4801">
      <w:tc>
        <w:tcPr>
          <w:tcW w:w="3447" w:type="dxa"/>
          <w:tcBorders>
            <w:top w:val="single" w:sz="4" w:space="0" w:color="auto"/>
          </w:tcBorders>
        </w:tcPr>
        <w:p w14:paraId="39F1B285" w14:textId="77777777" w:rsidR="00665986" w:rsidRPr="000004FB" w:rsidRDefault="00665986" w:rsidP="00665986">
          <w:pPr>
            <w:pStyle w:val="Footer"/>
            <w:rPr>
              <w:spacing w:val="-3"/>
              <w:lang w:val="en-CA"/>
            </w:rPr>
          </w:pPr>
        </w:p>
        <w:p w14:paraId="085A5BE8" w14:textId="77777777" w:rsidR="00665986" w:rsidRPr="000004FB" w:rsidRDefault="00665986" w:rsidP="00665986">
          <w:pPr>
            <w:pStyle w:val="Footer"/>
            <w:rPr>
              <w:spacing w:val="-3"/>
            </w:rPr>
          </w:pPr>
          <w:r>
            <w:rPr>
              <w:noProof/>
            </w:rPr>
            <w:drawing>
              <wp:inline distT="0" distB="0" distL="0" distR="0" wp14:anchorId="457964D3" wp14:editId="5D1DC047">
                <wp:extent cx="800100" cy="190500"/>
                <wp:effectExtent l="19050" t="0" r="0" b="0"/>
                <wp:docPr id="8" name="Picture 8" descr="CANADA ©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NADA © Transparent"/>
                        <pic:cNvPicPr>
                          <a:picLocks noChangeAspect="1" noChangeArrowheads="1"/>
                        </pic:cNvPicPr>
                      </pic:nvPicPr>
                      <pic:blipFill>
                        <a:blip r:embed="rId2"/>
                        <a:srcRect/>
                        <a:stretch>
                          <a:fillRect/>
                        </a:stretch>
                      </pic:blipFill>
                      <pic:spPr bwMode="auto">
                        <a:xfrm>
                          <a:off x="0" y="0"/>
                          <a:ext cx="800100" cy="190500"/>
                        </a:xfrm>
                        <a:prstGeom prst="rect">
                          <a:avLst/>
                        </a:prstGeom>
                        <a:noFill/>
                        <a:ln w="9525">
                          <a:noFill/>
                          <a:miter lim="800000"/>
                          <a:headEnd/>
                          <a:tailEnd/>
                        </a:ln>
                      </pic:spPr>
                    </pic:pic>
                  </a:graphicData>
                </a:graphic>
              </wp:inline>
            </w:drawing>
          </w:r>
        </w:p>
      </w:tc>
      <w:tc>
        <w:tcPr>
          <w:tcW w:w="1800" w:type="dxa"/>
          <w:gridSpan w:val="3"/>
          <w:tcBorders>
            <w:top w:val="single" w:sz="4" w:space="0" w:color="auto"/>
          </w:tcBorders>
        </w:tcPr>
        <w:p w14:paraId="0D84809E" w14:textId="77777777" w:rsidR="00665986" w:rsidRDefault="00665986" w:rsidP="00665986">
          <w:pPr>
            <w:pStyle w:val="Footer"/>
            <w:jc w:val="center"/>
            <w:rPr>
              <w:spacing w:val="-3"/>
            </w:rPr>
          </w:pPr>
        </w:p>
        <w:p w14:paraId="2F46DCC1" w14:textId="33704D24" w:rsidR="00665986" w:rsidRPr="000004FB" w:rsidRDefault="00665986" w:rsidP="00665986">
          <w:pPr>
            <w:pStyle w:val="Footer"/>
            <w:jc w:val="center"/>
            <w:rPr>
              <w:spacing w:val="-3"/>
            </w:rPr>
          </w:pPr>
          <w:proofErr w:type="spellStart"/>
          <w:r>
            <w:rPr>
              <w:spacing w:val="-3"/>
            </w:rPr>
            <w:t>Juin</w:t>
          </w:r>
          <w:proofErr w:type="spellEnd"/>
          <w:r>
            <w:rPr>
              <w:spacing w:val="-3"/>
            </w:rPr>
            <w:t xml:space="preserve"> 2020</w:t>
          </w:r>
        </w:p>
      </w:tc>
      <w:tc>
        <w:tcPr>
          <w:tcW w:w="3825" w:type="dxa"/>
          <w:tcBorders>
            <w:top w:val="single" w:sz="4" w:space="0" w:color="auto"/>
          </w:tcBorders>
        </w:tcPr>
        <w:p w14:paraId="4C8FAA29" w14:textId="77777777" w:rsidR="00665986" w:rsidRPr="000004FB" w:rsidRDefault="00665986" w:rsidP="00665986">
          <w:pPr>
            <w:pStyle w:val="Footer"/>
            <w:jc w:val="right"/>
            <w:rPr>
              <w:spacing w:val="-3"/>
            </w:rPr>
          </w:pPr>
          <w:r>
            <w:rPr>
              <w:noProof/>
              <w:spacing w:val="-3"/>
            </w:rPr>
            <w:drawing>
              <wp:inline distT="0" distB="0" distL="0" distR="0" wp14:anchorId="59664486" wp14:editId="435FB5A0">
                <wp:extent cx="381000" cy="381000"/>
                <wp:effectExtent l="19050" t="0" r="0" b="0"/>
                <wp:docPr id="11" name="Picture 11" descr="do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
                        <pic:cNvPicPr>
                          <a:picLocks noChangeAspect="1" noChangeArrowheads="1"/>
                        </pic:cNvPicPr>
                      </pic:nvPicPr>
                      <pic:blipFill>
                        <a:blip r:embed="rId3"/>
                        <a:srcRect/>
                        <a:stretch>
                          <a:fillRect/>
                        </a:stretch>
                      </pic:blipFill>
                      <pic:spPr bwMode="auto">
                        <a:xfrm>
                          <a:off x="0" y="0"/>
                          <a:ext cx="381000" cy="381000"/>
                        </a:xfrm>
                        <a:prstGeom prst="rect">
                          <a:avLst/>
                        </a:prstGeom>
                        <a:noFill/>
                        <a:ln w="9525">
                          <a:noFill/>
                          <a:miter lim="800000"/>
                          <a:headEnd/>
                          <a:tailEnd/>
                        </a:ln>
                      </pic:spPr>
                    </pic:pic>
                  </a:graphicData>
                </a:graphic>
              </wp:inline>
            </w:drawing>
          </w:r>
        </w:p>
      </w:tc>
    </w:tr>
  </w:tbl>
  <w:p w14:paraId="41DF69F9" w14:textId="77777777" w:rsidR="00CC13C3" w:rsidRPr="008C3457" w:rsidRDefault="00CC1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DF495" w14:textId="77777777" w:rsidR="00C34CEC" w:rsidRPr="008C3457" w:rsidRDefault="00C34CEC">
      <w:r w:rsidRPr="008C3457">
        <w:separator/>
      </w:r>
    </w:p>
  </w:footnote>
  <w:footnote w:type="continuationSeparator" w:id="0">
    <w:p w14:paraId="6AC708D6" w14:textId="77777777" w:rsidR="00C34CEC" w:rsidRPr="008C3457" w:rsidRDefault="00C34CEC">
      <w:r w:rsidRPr="008C34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897E6" w14:textId="7E2CC295" w:rsidR="00CC13C3" w:rsidRPr="008C3457" w:rsidRDefault="00CC13C3">
    <w:pPr>
      <w:pBdr>
        <w:bottom w:val="single" w:sz="4" w:space="1" w:color="auto"/>
      </w:pBdr>
      <w:tabs>
        <w:tab w:val="right" w:pos="9270"/>
      </w:tabs>
      <w:rPr>
        <w:b/>
      </w:rPr>
    </w:pPr>
    <w:r>
      <w:rPr>
        <w:b/>
      </w:rPr>
      <w:t>Limande à queue jaune du banc de Georges</w:t>
    </w:r>
    <w:r>
      <w:rPr>
        <w:b/>
      </w:rPr>
      <w:tab/>
      <w:t>Rapport du CERT sur l</w:t>
    </w:r>
    <w:r w:rsidR="00D62505">
      <w:rPr>
        <w:b/>
      </w:rPr>
      <w:t>’</w:t>
    </w:r>
    <w:r>
      <w:rPr>
        <w:b/>
      </w:rPr>
      <w:t>état des stocks 2013/01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65" w:type="dxa"/>
      <w:tblInd w:w="-5" w:type="dxa"/>
      <w:tblLayout w:type="fixed"/>
      <w:tblCellMar>
        <w:left w:w="0" w:type="dxa"/>
        <w:right w:w="0" w:type="dxa"/>
      </w:tblCellMar>
      <w:tblLook w:val="01E0" w:firstRow="1" w:lastRow="1" w:firstColumn="1" w:lastColumn="1" w:noHBand="0" w:noVBand="0"/>
    </w:tblPr>
    <w:tblGrid>
      <w:gridCol w:w="4428"/>
      <w:gridCol w:w="4937"/>
    </w:tblGrid>
    <w:tr w:rsidR="00B04A1A" w14:paraId="2F78727B" w14:textId="77777777" w:rsidTr="00AE4801">
      <w:tc>
        <w:tcPr>
          <w:tcW w:w="4428" w:type="dxa"/>
        </w:tcPr>
        <w:p w14:paraId="3E7CF82C" w14:textId="77777777" w:rsidR="00B04A1A" w:rsidRDefault="00B04A1A" w:rsidP="00B04A1A">
          <w:pPr>
            <w:pStyle w:val="Header"/>
            <w:tabs>
              <w:tab w:val="right" w:pos="8825"/>
            </w:tabs>
            <w:rPr>
              <w:b/>
            </w:rPr>
          </w:pPr>
          <w:r w:rsidRPr="00B139DA">
            <w:rPr>
              <w:noProof/>
            </w:rPr>
            <w:drawing>
              <wp:inline distT="0" distB="0" distL="0" distR="0" wp14:anchorId="28647140" wp14:editId="30597506">
                <wp:extent cx="2493364" cy="460350"/>
                <wp:effectExtent l="0" t="0" r="2540" b="0"/>
                <wp:docPr id="4" name="Picture 4" descr="Fisheries and Oceans Cana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ndeauI\Desktop\Templates&amp;Forms\e_eso_bw.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3721" cy="460416"/>
                        </a:xfrm>
                        <a:prstGeom prst="rect">
                          <a:avLst/>
                        </a:prstGeom>
                        <a:noFill/>
                        <a:ln>
                          <a:noFill/>
                        </a:ln>
                      </pic:spPr>
                    </pic:pic>
                  </a:graphicData>
                </a:graphic>
              </wp:inline>
            </w:drawing>
          </w:r>
        </w:p>
      </w:tc>
      <w:tc>
        <w:tcPr>
          <w:tcW w:w="4937" w:type="dxa"/>
        </w:tcPr>
        <w:p w14:paraId="5B498B78" w14:textId="77777777" w:rsidR="00B04A1A" w:rsidRPr="00606708" w:rsidRDefault="00B04A1A" w:rsidP="00B04A1A">
          <w:pPr>
            <w:pStyle w:val="Header"/>
            <w:jc w:val="right"/>
            <w:rPr>
              <w:b/>
            </w:rPr>
          </w:pPr>
          <w:r>
            <w:rPr>
              <w:b/>
              <w:noProof/>
            </w:rPr>
            <w:drawing>
              <wp:inline distT="0" distB="0" distL="0" distR="0" wp14:anchorId="72EB39AC" wp14:editId="45107B2A">
                <wp:extent cx="2714625" cy="266700"/>
                <wp:effectExtent l="0" t="0" r="9525" b="0"/>
                <wp:docPr id="5" name="Picture 5" descr="NOAA Fisheries - National Marine Fisheries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14625" cy="266700"/>
                        </a:xfrm>
                        <a:prstGeom prst="rect">
                          <a:avLst/>
                        </a:prstGeom>
                        <a:noFill/>
                        <a:ln>
                          <a:noFill/>
                        </a:ln>
                      </pic:spPr>
                    </pic:pic>
                  </a:graphicData>
                </a:graphic>
              </wp:inline>
            </w:drawing>
          </w:r>
        </w:p>
      </w:tc>
    </w:tr>
    <w:tr w:rsidR="00B04A1A" w14:paraId="57C1A92E" w14:textId="77777777" w:rsidTr="00AE4801">
      <w:tc>
        <w:tcPr>
          <w:tcW w:w="9365" w:type="dxa"/>
          <w:gridSpan w:val="2"/>
        </w:tcPr>
        <w:p w14:paraId="3ACCA423" w14:textId="77777777" w:rsidR="00B04A1A" w:rsidRPr="00B04A1A" w:rsidRDefault="00B04A1A" w:rsidP="00B04A1A">
          <w:pPr>
            <w:pStyle w:val="Header"/>
            <w:tabs>
              <w:tab w:val="center" w:pos="4428"/>
            </w:tabs>
            <w:spacing w:before="60"/>
            <w:jc w:val="center"/>
            <w:rPr>
              <w:rFonts w:cs="Arial"/>
              <w:b/>
              <w:szCs w:val="22"/>
            </w:rPr>
          </w:pPr>
          <w:r w:rsidRPr="00B04A1A">
            <w:rPr>
              <w:rFonts w:cs="Arial"/>
              <w:b/>
              <w:szCs w:val="22"/>
            </w:rPr>
            <w:t xml:space="preserve">Transboundary Resources Assessment Committee </w:t>
          </w:r>
        </w:p>
      </w:tc>
    </w:tr>
    <w:tr w:rsidR="00B04A1A" w14:paraId="5ADB4149" w14:textId="77777777" w:rsidTr="00AE4801">
      <w:tc>
        <w:tcPr>
          <w:tcW w:w="9365" w:type="dxa"/>
          <w:gridSpan w:val="2"/>
          <w:tcBorders>
            <w:bottom w:val="single" w:sz="4" w:space="0" w:color="auto"/>
          </w:tcBorders>
        </w:tcPr>
        <w:p w14:paraId="3B843B14" w14:textId="77777777" w:rsidR="00B04A1A" w:rsidRPr="00B04A1A" w:rsidRDefault="00B04A1A" w:rsidP="00B04A1A">
          <w:pPr>
            <w:pStyle w:val="Header"/>
            <w:tabs>
              <w:tab w:val="center" w:pos="4428"/>
            </w:tabs>
            <w:spacing w:before="60"/>
            <w:jc w:val="right"/>
            <w:rPr>
              <w:rFonts w:cs="Arial"/>
              <w:b/>
              <w:szCs w:val="22"/>
            </w:rPr>
          </w:pPr>
          <w:r w:rsidRPr="00B04A1A">
            <w:rPr>
              <w:rFonts w:cs="Arial"/>
              <w:b/>
              <w:szCs w:val="22"/>
            </w:rPr>
            <w:t>Status Report 2019/02</w:t>
          </w:r>
        </w:p>
      </w:tc>
    </w:tr>
  </w:tbl>
  <w:p w14:paraId="67634B04" w14:textId="77777777" w:rsidR="00CC13C3" w:rsidRPr="008C3457" w:rsidRDefault="00CC13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9A5E5" w14:textId="77777777" w:rsidR="00CC13C3" w:rsidRPr="008C3457" w:rsidRDefault="00CC13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0"/>
      <w:gridCol w:w="4800"/>
    </w:tblGrid>
    <w:tr w:rsidR="00CC13C3" w:rsidRPr="008C3457" w14:paraId="2B2F34A9" w14:textId="77777777" w:rsidTr="000A650E">
      <w:tc>
        <w:tcPr>
          <w:tcW w:w="6588" w:type="dxa"/>
        </w:tcPr>
        <w:p w14:paraId="533769A6" w14:textId="77777777" w:rsidR="00CC13C3" w:rsidRPr="008C3457" w:rsidRDefault="00CC13C3">
          <w:pPr>
            <w:tabs>
              <w:tab w:val="right" w:pos="12960"/>
            </w:tabs>
            <w:rPr>
              <w:b/>
            </w:rPr>
          </w:pPr>
          <w:r>
            <w:rPr>
              <w:b/>
            </w:rPr>
            <w:t>Limande à queue jaune du banc de Georges</w:t>
          </w:r>
        </w:p>
      </w:tc>
      <w:tc>
        <w:tcPr>
          <w:tcW w:w="6588" w:type="dxa"/>
        </w:tcPr>
        <w:p w14:paraId="0FDCF853" w14:textId="112414DA" w:rsidR="00CC13C3" w:rsidRPr="008C3457" w:rsidRDefault="00CC13C3" w:rsidP="005D1442">
          <w:pPr>
            <w:tabs>
              <w:tab w:val="right" w:pos="12960"/>
            </w:tabs>
            <w:jc w:val="right"/>
            <w:rPr>
              <w:b/>
              <w:bCs/>
              <w:i/>
              <w:iCs/>
              <w:sz w:val="26"/>
              <w:szCs w:val="26"/>
            </w:rPr>
          </w:pPr>
          <w:r>
            <w:rPr>
              <w:b/>
            </w:rPr>
            <w:t>Rapport du CERT sur l</w:t>
          </w:r>
          <w:r w:rsidR="00D62505">
            <w:rPr>
              <w:b/>
            </w:rPr>
            <w:t>’</w:t>
          </w:r>
          <w:r>
            <w:rPr>
              <w:b/>
            </w:rPr>
            <w:t>état des stocks 2019/02</w:t>
          </w:r>
        </w:p>
      </w:tc>
    </w:tr>
  </w:tbl>
  <w:p w14:paraId="4D040D30" w14:textId="77777777" w:rsidR="00CC13C3" w:rsidRPr="008C3457" w:rsidRDefault="00CC13C3">
    <w:pPr>
      <w:tabs>
        <w:tab w:val="right" w:pos="12960"/>
      </w:tabs>
      <w:rPr>
        <w:b/>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90AE4" w14:textId="77777777" w:rsidR="00CC13C3" w:rsidRPr="008C3457" w:rsidRDefault="00CC13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04EFEF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16A75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3AE38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B0EBEE0"/>
    <w:lvl w:ilvl="0">
      <w:start w:val="1"/>
      <w:numFmt w:val="lowerLetter"/>
      <w:lvlText w:val="%1."/>
      <w:lvlJc w:val="left"/>
      <w:pPr>
        <w:ind w:left="643" w:hanging="360"/>
      </w:pPr>
    </w:lvl>
  </w:abstractNum>
  <w:abstractNum w:abstractNumId="4" w15:restartNumberingAfterBreak="0">
    <w:nsid w:val="FFFFFF80"/>
    <w:multiLevelType w:val="singleLevel"/>
    <w:tmpl w:val="CAC815E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638509C"/>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F618C05A"/>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0F0A5730"/>
    <w:lvl w:ilvl="0">
      <w:start w:val="1"/>
      <w:numFmt w:val="bullet"/>
      <w:lvlText w:val="o"/>
      <w:lvlJc w:val="left"/>
      <w:pPr>
        <w:ind w:left="643" w:hanging="360"/>
      </w:pPr>
      <w:rPr>
        <w:rFonts w:ascii="Courier New" w:hAnsi="Courier New" w:cs="Courier New" w:hint="default"/>
      </w:rPr>
    </w:lvl>
  </w:abstractNum>
  <w:abstractNum w:abstractNumId="8" w15:restartNumberingAfterBreak="0">
    <w:nsid w:val="FFFFFF88"/>
    <w:multiLevelType w:val="singleLevel"/>
    <w:tmpl w:val="258CB9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1ABEAA"/>
    <w:lvl w:ilvl="0">
      <w:start w:val="1"/>
      <w:numFmt w:val="bullet"/>
      <w:lvlText w:val=""/>
      <w:lvlJc w:val="left"/>
      <w:pPr>
        <w:tabs>
          <w:tab w:val="num" w:pos="900"/>
        </w:tabs>
        <w:ind w:left="900" w:hanging="360"/>
      </w:pPr>
      <w:rPr>
        <w:rFonts w:ascii="Symbol" w:hAnsi="Symbol" w:hint="default"/>
        <w:lang w:val="en-CA"/>
      </w:rPr>
    </w:lvl>
  </w:abstractNum>
  <w:abstractNum w:abstractNumId="10" w15:restartNumberingAfterBreak="0">
    <w:nsid w:val="0D471A41"/>
    <w:multiLevelType w:val="hybridMultilevel"/>
    <w:tmpl w:val="BDDC2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970722"/>
    <w:multiLevelType w:val="hybridMultilevel"/>
    <w:tmpl w:val="B86814BC"/>
    <w:lvl w:ilvl="0" w:tplc="43C0792A">
      <w:numFmt w:val="bullet"/>
      <w:lvlText w:val="-"/>
      <w:lvlJc w:val="left"/>
      <w:pPr>
        <w:ind w:left="360" w:hanging="360"/>
      </w:pPr>
      <w:rPr>
        <w:rFonts w:ascii="Calibri" w:eastAsia="Times New Roman"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E7135B6"/>
    <w:multiLevelType w:val="hybridMultilevel"/>
    <w:tmpl w:val="775CA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2B0805"/>
    <w:multiLevelType w:val="hybridMultilevel"/>
    <w:tmpl w:val="ADF64CD0"/>
    <w:lvl w:ilvl="0" w:tplc="06AE885A">
      <w:start w:val="1"/>
      <w:numFmt w:val="bullet"/>
      <w:lvlText w:val=""/>
      <w:lvlJc w:val="left"/>
      <w:pPr>
        <w:tabs>
          <w:tab w:val="num" w:pos="720"/>
        </w:tabs>
        <w:ind w:left="720" w:hanging="360"/>
      </w:pPr>
      <w:rPr>
        <w:rFonts w:ascii="Symbol" w:hAnsi="Symbol" w:cs="Symbol" w:hint="default"/>
      </w:rPr>
    </w:lvl>
    <w:lvl w:ilvl="1" w:tplc="45D428D0" w:tentative="1">
      <w:start w:val="1"/>
      <w:numFmt w:val="bullet"/>
      <w:lvlText w:val="o"/>
      <w:lvlJc w:val="left"/>
      <w:pPr>
        <w:tabs>
          <w:tab w:val="num" w:pos="1440"/>
        </w:tabs>
        <w:ind w:left="1440" w:hanging="360"/>
      </w:pPr>
      <w:rPr>
        <w:rFonts w:ascii="Courier New" w:hAnsi="Courier New" w:cs="Courier New" w:hint="default"/>
      </w:rPr>
    </w:lvl>
    <w:lvl w:ilvl="2" w:tplc="0B0C0D70" w:tentative="1">
      <w:start w:val="1"/>
      <w:numFmt w:val="bullet"/>
      <w:lvlText w:val=""/>
      <w:lvlJc w:val="left"/>
      <w:pPr>
        <w:tabs>
          <w:tab w:val="num" w:pos="2160"/>
        </w:tabs>
        <w:ind w:left="2160" w:hanging="360"/>
      </w:pPr>
      <w:rPr>
        <w:rFonts w:ascii="Wingdings" w:hAnsi="Wingdings" w:cs="Wingdings" w:hint="default"/>
      </w:rPr>
    </w:lvl>
    <w:lvl w:ilvl="3" w:tplc="C47AFF40" w:tentative="1">
      <w:start w:val="1"/>
      <w:numFmt w:val="bullet"/>
      <w:lvlText w:val=""/>
      <w:lvlJc w:val="left"/>
      <w:pPr>
        <w:tabs>
          <w:tab w:val="num" w:pos="2880"/>
        </w:tabs>
        <w:ind w:left="2880" w:hanging="360"/>
      </w:pPr>
      <w:rPr>
        <w:rFonts w:ascii="Symbol" w:hAnsi="Symbol" w:cs="Symbol" w:hint="default"/>
      </w:rPr>
    </w:lvl>
    <w:lvl w:ilvl="4" w:tplc="EC7AC140" w:tentative="1">
      <w:start w:val="1"/>
      <w:numFmt w:val="bullet"/>
      <w:lvlText w:val="o"/>
      <w:lvlJc w:val="left"/>
      <w:pPr>
        <w:tabs>
          <w:tab w:val="num" w:pos="3600"/>
        </w:tabs>
        <w:ind w:left="3600" w:hanging="360"/>
      </w:pPr>
      <w:rPr>
        <w:rFonts w:ascii="Courier New" w:hAnsi="Courier New" w:cs="Courier New" w:hint="default"/>
      </w:rPr>
    </w:lvl>
    <w:lvl w:ilvl="5" w:tplc="5ADAD4E6" w:tentative="1">
      <w:start w:val="1"/>
      <w:numFmt w:val="bullet"/>
      <w:lvlText w:val=""/>
      <w:lvlJc w:val="left"/>
      <w:pPr>
        <w:tabs>
          <w:tab w:val="num" w:pos="4320"/>
        </w:tabs>
        <w:ind w:left="4320" w:hanging="360"/>
      </w:pPr>
      <w:rPr>
        <w:rFonts w:ascii="Wingdings" w:hAnsi="Wingdings" w:cs="Wingdings" w:hint="default"/>
      </w:rPr>
    </w:lvl>
    <w:lvl w:ilvl="6" w:tplc="15BC1AB6" w:tentative="1">
      <w:start w:val="1"/>
      <w:numFmt w:val="bullet"/>
      <w:lvlText w:val=""/>
      <w:lvlJc w:val="left"/>
      <w:pPr>
        <w:tabs>
          <w:tab w:val="num" w:pos="5040"/>
        </w:tabs>
        <w:ind w:left="5040" w:hanging="360"/>
      </w:pPr>
      <w:rPr>
        <w:rFonts w:ascii="Symbol" w:hAnsi="Symbol" w:cs="Symbol" w:hint="default"/>
      </w:rPr>
    </w:lvl>
    <w:lvl w:ilvl="7" w:tplc="082E2BC4" w:tentative="1">
      <w:start w:val="1"/>
      <w:numFmt w:val="bullet"/>
      <w:lvlText w:val="o"/>
      <w:lvlJc w:val="left"/>
      <w:pPr>
        <w:tabs>
          <w:tab w:val="num" w:pos="5760"/>
        </w:tabs>
        <w:ind w:left="5760" w:hanging="360"/>
      </w:pPr>
      <w:rPr>
        <w:rFonts w:ascii="Courier New" w:hAnsi="Courier New" w:cs="Courier New" w:hint="default"/>
      </w:rPr>
    </w:lvl>
    <w:lvl w:ilvl="8" w:tplc="445876DC" w:tentative="1">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19364F77"/>
    <w:multiLevelType w:val="hybridMultilevel"/>
    <w:tmpl w:val="B3647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F1172D"/>
    <w:multiLevelType w:val="hybridMultilevel"/>
    <w:tmpl w:val="B61CD924"/>
    <w:lvl w:ilvl="0" w:tplc="FFFFFFFF">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F514958"/>
    <w:multiLevelType w:val="hybridMultilevel"/>
    <w:tmpl w:val="06BE06E2"/>
    <w:lvl w:ilvl="0" w:tplc="0812036A">
      <w:start w:val="1"/>
      <w:numFmt w:val="bullet"/>
      <w:lvlText w:val=""/>
      <w:lvlJc w:val="left"/>
      <w:pPr>
        <w:tabs>
          <w:tab w:val="num" w:pos="360"/>
        </w:tabs>
        <w:ind w:left="360" w:hanging="360"/>
      </w:pPr>
      <w:rPr>
        <w:rFonts w:ascii="Symbol" w:hAnsi="Symbol" w:cs="Symbol" w:hint="default"/>
      </w:rPr>
    </w:lvl>
    <w:lvl w:ilvl="1" w:tplc="5FAA5290" w:tentative="1">
      <w:start w:val="1"/>
      <w:numFmt w:val="bullet"/>
      <w:lvlText w:val="o"/>
      <w:lvlJc w:val="left"/>
      <w:pPr>
        <w:tabs>
          <w:tab w:val="num" w:pos="1080"/>
        </w:tabs>
        <w:ind w:left="1080" w:hanging="360"/>
      </w:pPr>
      <w:rPr>
        <w:rFonts w:ascii="Courier New" w:hAnsi="Courier New" w:cs="Courier New" w:hint="default"/>
      </w:rPr>
    </w:lvl>
    <w:lvl w:ilvl="2" w:tplc="BECAF744" w:tentative="1">
      <w:start w:val="1"/>
      <w:numFmt w:val="bullet"/>
      <w:lvlText w:val=""/>
      <w:lvlJc w:val="left"/>
      <w:pPr>
        <w:tabs>
          <w:tab w:val="num" w:pos="1800"/>
        </w:tabs>
        <w:ind w:left="1800" w:hanging="360"/>
      </w:pPr>
      <w:rPr>
        <w:rFonts w:ascii="Wingdings" w:hAnsi="Wingdings" w:cs="Wingdings" w:hint="default"/>
      </w:rPr>
    </w:lvl>
    <w:lvl w:ilvl="3" w:tplc="AB184780" w:tentative="1">
      <w:start w:val="1"/>
      <w:numFmt w:val="bullet"/>
      <w:lvlText w:val=""/>
      <w:lvlJc w:val="left"/>
      <w:pPr>
        <w:tabs>
          <w:tab w:val="num" w:pos="2520"/>
        </w:tabs>
        <w:ind w:left="2520" w:hanging="360"/>
      </w:pPr>
      <w:rPr>
        <w:rFonts w:ascii="Symbol" w:hAnsi="Symbol" w:cs="Symbol" w:hint="default"/>
      </w:rPr>
    </w:lvl>
    <w:lvl w:ilvl="4" w:tplc="8084AB7E" w:tentative="1">
      <w:start w:val="1"/>
      <w:numFmt w:val="bullet"/>
      <w:lvlText w:val="o"/>
      <w:lvlJc w:val="left"/>
      <w:pPr>
        <w:tabs>
          <w:tab w:val="num" w:pos="3240"/>
        </w:tabs>
        <w:ind w:left="3240" w:hanging="360"/>
      </w:pPr>
      <w:rPr>
        <w:rFonts w:ascii="Courier New" w:hAnsi="Courier New" w:cs="Courier New" w:hint="default"/>
      </w:rPr>
    </w:lvl>
    <w:lvl w:ilvl="5" w:tplc="B040F666" w:tentative="1">
      <w:start w:val="1"/>
      <w:numFmt w:val="bullet"/>
      <w:lvlText w:val=""/>
      <w:lvlJc w:val="left"/>
      <w:pPr>
        <w:tabs>
          <w:tab w:val="num" w:pos="3960"/>
        </w:tabs>
        <w:ind w:left="3960" w:hanging="360"/>
      </w:pPr>
      <w:rPr>
        <w:rFonts w:ascii="Wingdings" w:hAnsi="Wingdings" w:cs="Wingdings" w:hint="default"/>
      </w:rPr>
    </w:lvl>
    <w:lvl w:ilvl="6" w:tplc="34B680DA" w:tentative="1">
      <w:start w:val="1"/>
      <w:numFmt w:val="bullet"/>
      <w:lvlText w:val=""/>
      <w:lvlJc w:val="left"/>
      <w:pPr>
        <w:tabs>
          <w:tab w:val="num" w:pos="4680"/>
        </w:tabs>
        <w:ind w:left="4680" w:hanging="360"/>
      </w:pPr>
      <w:rPr>
        <w:rFonts w:ascii="Symbol" w:hAnsi="Symbol" w:cs="Symbol" w:hint="default"/>
      </w:rPr>
    </w:lvl>
    <w:lvl w:ilvl="7" w:tplc="C316C6D6" w:tentative="1">
      <w:start w:val="1"/>
      <w:numFmt w:val="bullet"/>
      <w:lvlText w:val="o"/>
      <w:lvlJc w:val="left"/>
      <w:pPr>
        <w:tabs>
          <w:tab w:val="num" w:pos="5400"/>
        </w:tabs>
        <w:ind w:left="5400" w:hanging="360"/>
      </w:pPr>
      <w:rPr>
        <w:rFonts w:ascii="Courier New" w:hAnsi="Courier New" w:cs="Courier New" w:hint="default"/>
      </w:rPr>
    </w:lvl>
    <w:lvl w:ilvl="8" w:tplc="817616C8" w:tentative="1">
      <w:start w:val="1"/>
      <w:numFmt w:val="bullet"/>
      <w:lvlText w:val=""/>
      <w:lvlJc w:val="left"/>
      <w:pPr>
        <w:tabs>
          <w:tab w:val="num" w:pos="6120"/>
        </w:tabs>
        <w:ind w:left="6120" w:hanging="360"/>
      </w:pPr>
      <w:rPr>
        <w:rFonts w:ascii="Wingdings" w:hAnsi="Wingdings" w:cs="Wingdings" w:hint="default"/>
      </w:rPr>
    </w:lvl>
  </w:abstractNum>
  <w:abstractNum w:abstractNumId="17" w15:restartNumberingAfterBreak="0">
    <w:nsid w:val="649B6337"/>
    <w:multiLevelType w:val="hybridMultilevel"/>
    <w:tmpl w:val="31F88174"/>
    <w:lvl w:ilvl="0" w:tplc="7D049860">
      <w:numFmt w:val="bullet"/>
      <w:lvlText w:val="-"/>
      <w:lvlJc w:val="left"/>
      <w:pPr>
        <w:ind w:left="360" w:hanging="360"/>
      </w:pPr>
      <w:rPr>
        <w:rFonts w:ascii="Calibri" w:eastAsia="Times New Roman" w:hAnsi="Calibri" w:cs="Times New Roman"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77A0CEE"/>
    <w:multiLevelType w:val="hybridMultilevel"/>
    <w:tmpl w:val="2EDC0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2025C0"/>
    <w:multiLevelType w:val="hybridMultilevel"/>
    <w:tmpl w:val="DF7E64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3F70BF2"/>
    <w:multiLevelType w:val="hybridMultilevel"/>
    <w:tmpl w:val="FF60AE76"/>
    <w:lvl w:ilvl="0" w:tplc="60CE4F9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5"/>
  </w:num>
  <w:num w:numId="14">
    <w:abstractNumId w:val="14"/>
  </w:num>
  <w:num w:numId="15">
    <w:abstractNumId w:val="10"/>
  </w:num>
  <w:num w:numId="16">
    <w:abstractNumId w:val="12"/>
  </w:num>
  <w:num w:numId="17">
    <w:abstractNumId w:val="17"/>
  </w:num>
  <w:num w:numId="18">
    <w:abstractNumId w:val="11"/>
  </w:num>
  <w:num w:numId="19">
    <w:abstractNumId w:val="19"/>
  </w:num>
  <w:num w:numId="20">
    <w:abstractNumId w:val="20"/>
  </w:num>
  <w:num w:numId="21">
    <w:abstractNumId w:val="18"/>
  </w:num>
  <w:num w:numId="22">
    <w:abstractNumId w:val="9"/>
  </w:num>
  <w:num w:numId="23">
    <w:abstractNumId w:val="7"/>
  </w:num>
  <w:num w:numId="24">
    <w:abstractNumId w:val="8"/>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961"/>
    <w:rsid w:val="000004FB"/>
    <w:rsid w:val="00010E67"/>
    <w:rsid w:val="00010F73"/>
    <w:rsid w:val="00013928"/>
    <w:rsid w:val="000141D3"/>
    <w:rsid w:val="00020383"/>
    <w:rsid w:val="00021C53"/>
    <w:rsid w:val="00021FBE"/>
    <w:rsid w:val="0002380D"/>
    <w:rsid w:val="00026DD9"/>
    <w:rsid w:val="0002707E"/>
    <w:rsid w:val="00035EF0"/>
    <w:rsid w:val="0004378A"/>
    <w:rsid w:val="00045167"/>
    <w:rsid w:val="0004774A"/>
    <w:rsid w:val="000502BB"/>
    <w:rsid w:val="0005075F"/>
    <w:rsid w:val="00051262"/>
    <w:rsid w:val="0005393C"/>
    <w:rsid w:val="00053F5D"/>
    <w:rsid w:val="00054CC4"/>
    <w:rsid w:val="00061159"/>
    <w:rsid w:val="000614A0"/>
    <w:rsid w:val="00065CCB"/>
    <w:rsid w:val="0006623A"/>
    <w:rsid w:val="000735E7"/>
    <w:rsid w:val="00074E7B"/>
    <w:rsid w:val="000816F0"/>
    <w:rsid w:val="00081F23"/>
    <w:rsid w:val="00082909"/>
    <w:rsid w:val="00082978"/>
    <w:rsid w:val="000845B5"/>
    <w:rsid w:val="0008547C"/>
    <w:rsid w:val="00085A79"/>
    <w:rsid w:val="000867BB"/>
    <w:rsid w:val="00086803"/>
    <w:rsid w:val="00090A1B"/>
    <w:rsid w:val="000A26FE"/>
    <w:rsid w:val="000A650E"/>
    <w:rsid w:val="000B2FAA"/>
    <w:rsid w:val="000B5E6B"/>
    <w:rsid w:val="000C345C"/>
    <w:rsid w:val="000C3C20"/>
    <w:rsid w:val="000C5468"/>
    <w:rsid w:val="000C560D"/>
    <w:rsid w:val="000C651D"/>
    <w:rsid w:val="000D31CE"/>
    <w:rsid w:val="000D4363"/>
    <w:rsid w:val="000D4CCE"/>
    <w:rsid w:val="000E162A"/>
    <w:rsid w:val="000E1F68"/>
    <w:rsid w:val="000E62AC"/>
    <w:rsid w:val="000E66FC"/>
    <w:rsid w:val="000F1128"/>
    <w:rsid w:val="000F5296"/>
    <w:rsid w:val="000F72D7"/>
    <w:rsid w:val="00102787"/>
    <w:rsid w:val="00106175"/>
    <w:rsid w:val="00110092"/>
    <w:rsid w:val="001100F6"/>
    <w:rsid w:val="00115E32"/>
    <w:rsid w:val="00117023"/>
    <w:rsid w:val="00121196"/>
    <w:rsid w:val="00121B3C"/>
    <w:rsid w:val="00122039"/>
    <w:rsid w:val="001238BB"/>
    <w:rsid w:val="00133A21"/>
    <w:rsid w:val="00136E7C"/>
    <w:rsid w:val="001417A2"/>
    <w:rsid w:val="001473B7"/>
    <w:rsid w:val="00156B69"/>
    <w:rsid w:val="001609B9"/>
    <w:rsid w:val="00160F4F"/>
    <w:rsid w:val="00161CA4"/>
    <w:rsid w:val="00162FA5"/>
    <w:rsid w:val="001630E2"/>
    <w:rsid w:val="00166660"/>
    <w:rsid w:val="00166C06"/>
    <w:rsid w:val="0017052B"/>
    <w:rsid w:val="001723FE"/>
    <w:rsid w:val="00174503"/>
    <w:rsid w:val="00180587"/>
    <w:rsid w:val="00180F94"/>
    <w:rsid w:val="00183A8D"/>
    <w:rsid w:val="00184A4A"/>
    <w:rsid w:val="00184D2B"/>
    <w:rsid w:val="00184E54"/>
    <w:rsid w:val="00185F77"/>
    <w:rsid w:val="00186113"/>
    <w:rsid w:val="00190C5E"/>
    <w:rsid w:val="00190D52"/>
    <w:rsid w:val="00194EFB"/>
    <w:rsid w:val="001958DD"/>
    <w:rsid w:val="00196446"/>
    <w:rsid w:val="001A31B8"/>
    <w:rsid w:val="001A3E94"/>
    <w:rsid w:val="001A4647"/>
    <w:rsid w:val="001A5AB5"/>
    <w:rsid w:val="001A6FCD"/>
    <w:rsid w:val="001A7E3C"/>
    <w:rsid w:val="001B0E45"/>
    <w:rsid w:val="001B1B19"/>
    <w:rsid w:val="001B2DA7"/>
    <w:rsid w:val="001B5368"/>
    <w:rsid w:val="001B748C"/>
    <w:rsid w:val="001C3E38"/>
    <w:rsid w:val="001C771F"/>
    <w:rsid w:val="001D48AA"/>
    <w:rsid w:val="001D4B62"/>
    <w:rsid w:val="001E462A"/>
    <w:rsid w:val="001F2FA1"/>
    <w:rsid w:val="001F4380"/>
    <w:rsid w:val="001F450C"/>
    <w:rsid w:val="001F4AB5"/>
    <w:rsid w:val="001F5D49"/>
    <w:rsid w:val="002028F1"/>
    <w:rsid w:val="0020782D"/>
    <w:rsid w:val="0020784B"/>
    <w:rsid w:val="00207EEC"/>
    <w:rsid w:val="00215F6B"/>
    <w:rsid w:val="00222F8E"/>
    <w:rsid w:val="00223D6C"/>
    <w:rsid w:val="00224490"/>
    <w:rsid w:val="0022567F"/>
    <w:rsid w:val="002357A2"/>
    <w:rsid w:val="0023638C"/>
    <w:rsid w:val="002409E0"/>
    <w:rsid w:val="0024277B"/>
    <w:rsid w:val="00243FE2"/>
    <w:rsid w:val="0025452D"/>
    <w:rsid w:val="002558F7"/>
    <w:rsid w:val="0025601F"/>
    <w:rsid w:val="0025724D"/>
    <w:rsid w:val="002602C2"/>
    <w:rsid w:val="002611E3"/>
    <w:rsid w:val="002620AC"/>
    <w:rsid w:val="00263DAF"/>
    <w:rsid w:val="0026417E"/>
    <w:rsid w:val="002728FC"/>
    <w:rsid w:val="00273117"/>
    <w:rsid w:val="002773C4"/>
    <w:rsid w:val="002800D2"/>
    <w:rsid w:val="00284198"/>
    <w:rsid w:val="002852F2"/>
    <w:rsid w:val="00286406"/>
    <w:rsid w:val="00290D12"/>
    <w:rsid w:val="002913CB"/>
    <w:rsid w:val="00294FE0"/>
    <w:rsid w:val="002A00CA"/>
    <w:rsid w:val="002A0CA6"/>
    <w:rsid w:val="002A56F6"/>
    <w:rsid w:val="002B4671"/>
    <w:rsid w:val="002B4A75"/>
    <w:rsid w:val="002B5CD3"/>
    <w:rsid w:val="002C2024"/>
    <w:rsid w:val="002C2AB0"/>
    <w:rsid w:val="002C323D"/>
    <w:rsid w:val="002C39A4"/>
    <w:rsid w:val="002D1F1F"/>
    <w:rsid w:val="002D621D"/>
    <w:rsid w:val="002D62A4"/>
    <w:rsid w:val="002E078C"/>
    <w:rsid w:val="002E1005"/>
    <w:rsid w:val="002E22FB"/>
    <w:rsid w:val="002E70F8"/>
    <w:rsid w:val="002E785B"/>
    <w:rsid w:val="002E78B0"/>
    <w:rsid w:val="002F05C7"/>
    <w:rsid w:val="002F0792"/>
    <w:rsid w:val="002F1386"/>
    <w:rsid w:val="00307088"/>
    <w:rsid w:val="00311BDA"/>
    <w:rsid w:val="00312CA1"/>
    <w:rsid w:val="0031353F"/>
    <w:rsid w:val="003146E2"/>
    <w:rsid w:val="003153E7"/>
    <w:rsid w:val="003168A4"/>
    <w:rsid w:val="00317895"/>
    <w:rsid w:val="003201A4"/>
    <w:rsid w:val="00323CCB"/>
    <w:rsid w:val="00327500"/>
    <w:rsid w:val="00327C25"/>
    <w:rsid w:val="00330881"/>
    <w:rsid w:val="003328DC"/>
    <w:rsid w:val="003330DA"/>
    <w:rsid w:val="00333538"/>
    <w:rsid w:val="00334004"/>
    <w:rsid w:val="00340064"/>
    <w:rsid w:val="0034165C"/>
    <w:rsid w:val="003419DC"/>
    <w:rsid w:val="00344F68"/>
    <w:rsid w:val="00346987"/>
    <w:rsid w:val="00346FAD"/>
    <w:rsid w:val="003504CD"/>
    <w:rsid w:val="0035196B"/>
    <w:rsid w:val="00351DCE"/>
    <w:rsid w:val="00352EC5"/>
    <w:rsid w:val="00354B14"/>
    <w:rsid w:val="00357D91"/>
    <w:rsid w:val="00361609"/>
    <w:rsid w:val="0036313A"/>
    <w:rsid w:val="0037165D"/>
    <w:rsid w:val="00372DA7"/>
    <w:rsid w:val="003821AA"/>
    <w:rsid w:val="00384E68"/>
    <w:rsid w:val="00386A38"/>
    <w:rsid w:val="00390548"/>
    <w:rsid w:val="003A0445"/>
    <w:rsid w:val="003A0A8F"/>
    <w:rsid w:val="003A1C01"/>
    <w:rsid w:val="003A4238"/>
    <w:rsid w:val="003A7AAE"/>
    <w:rsid w:val="003B09B7"/>
    <w:rsid w:val="003B0F55"/>
    <w:rsid w:val="003B3F60"/>
    <w:rsid w:val="003C15A3"/>
    <w:rsid w:val="003C18E0"/>
    <w:rsid w:val="003C52F3"/>
    <w:rsid w:val="003D34ED"/>
    <w:rsid w:val="003D3814"/>
    <w:rsid w:val="003D5411"/>
    <w:rsid w:val="003D6616"/>
    <w:rsid w:val="003D776B"/>
    <w:rsid w:val="003E0552"/>
    <w:rsid w:val="003E45A5"/>
    <w:rsid w:val="003E6CE2"/>
    <w:rsid w:val="003F1142"/>
    <w:rsid w:val="003F71D6"/>
    <w:rsid w:val="00401D98"/>
    <w:rsid w:val="004027FE"/>
    <w:rsid w:val="004035B8"/>
    <w:rsid w:val="00405753"/>
    <w:rsid w:val="004113DF"/>
    <w:rsid w:val="00411B3B"/>
    <w:rsid w:val="004220AD"/>
    <w:rsid w:val="00422B5F"/>
    <w:rsid w:val="00426B58"/>
    <w:rsid w:val="00434709"/>
    <w:rsid w:val="00444000"/>
    <w:rsid w:val="00445F86"/>
    <w:rsid w:val="00447B38"/>
    <w:rsid w:val="00453781"/>
    <w:rsid w:val="00453E2E"/>
    <w:rsid w:val="004550C1"/>
    <w:rsid w:val="00456552"/>
    <w:rsid w:val="00456D6A"/>
    <w:rsid w:val="00466CEF"/>
    <w:rsid w:val="00467841"/>
    <w:rsid w:val="004713F9"/>
    <w:rsid w:val="00472C3E"/>
    <w:rsid w:val="00473B9C"/>
    <w:rsid w:val="00476119"/>
    <w:rsid w:val="004767E7"/>
    <w:rsid w:val="00483C3C"/>
    <w:rsid w:val="00484CAF"/>
    <w:rsid w:val="00490100"/>
    <w:rsid w:val="00490847"/>
    <w:rsid w:val="00491AC0"/>
    <w:rsid w:val="004964A1"/>
    <w:rsid w:val="004A03FC"/>
    <w:rsid w:val="004A654E"/>
    <w:rsid w:val="004B212C"/>
    <w:rsid w:val="004B2530"/>
    <w:rsid w:val="004B417F"/>
    <w:rsid w:val="004B7073"/>
    <w:rsid w:val="004C264E"/>
    <w:rsid w:val="004C40B5"/>
    <w:rsid w:val="004C6488"/>
    <w:rsid w:val="004D1C59"/>
    <w:rsid w:val="004D33AE"/>
    <w:rsid w:val="004E29AF"/>
    <w:rsid w:val="004E2D36"/>
    <w:rsid w:val="004E38F2"/>
    <w:rsid w:val="004E557D"/>
    <w:rsid w:val="004E614E"/>
    <w:rsid w:val="004E7F10"/>
    <w:rsid w:val="004F1757"/>
    <w:rsid w:val="004F67E4"/>
    <w:rsid w:val="00500183"/>
    <w:rsid w:val="00501DE2"/>
    <w:rsid w:val="00502081"/>
    <w:rsid w:val="005036A5"/>
    <w:rsid w:val="005036EF"/>
    <w:rsid w:val="0051023B"/>
    <w:rsid w:val="005108E2"/>
    <w:rsid w:val="0051213D"/>
    <w:rsid w:val="00513538"/>
    <w:rsid w:val="005157E4"/>
    <w:rsid w:val="0051654D"/>
    <w:rsid w:val="00517C8E"/>
    <w:rsid w:val="00520219"/>
    <w:rsid w:val="00521B40"/>
    <w:rsid w:val="005237C2"/>
    <w:rsid w:val="0052461F"/>
    <w:rsid w:val="00525C16"/>
    <w:rsid w:val="00527224"/>
    <w:rsid w:val="005349A5"/>
    <w:rsid w:val="005432E2"/>
    <w:rsid w:val="00545A7C"/>
    <w:rsid w:val="00545C48"/>
    <w:rsid w:val="00546B98"/>
    <w:rsid w:val="00547A1F"/>
    <w:rsid w:val="00552405"/>
    <w:rsid w:val="00552FD5"/>
    <w:rsid w:val="00553EE2"/>
    <w:rsid w:val="00560241"/>
    <w:rsid w:val="005625DA"/>
    <w:rsid w:val="00564468"/>
    <w:rsid w:val="00565BD8"/>
    <w:rsid w:val="0056616E"/>
    <w:rsid w:val="00566921"/>
    <w:rsid w:val="00570574"/>
    <w:rsid w:val="0057132C"/>
    <w:rsid w:val="005737EF"/>
    <w:rsid w:val="00576786"/>
    <w:rsid w:val="005768E7"/>
    <w:rsid w:val="00583E24"/>
    <w:rsid w:val="00585F87"/>
    <w:rsid w:val="00594E2D"/>
    <w:rsid w:val="00597103"/>
    <w:rsid w:val="00597FE2"/>
    <w:rsid w:val="005A142E"/>
    <w:rsid w:val="005B0FC4"/>
    <w:rsid w:val="005B356E"/>
    <w:rsid w:val="005B7203"/>
    <w:rsid w:val="005C5611"/>
    <w:rsid w:val="005D1442"/>
    <w:rsid w:val="005D341D"/>
    <w:rsid w:val="005D4D98"/>
    <w:rsid w:val="005E228B"/>
    <w:rsid w:val="005E291A"/>
    <w:rsid w:val="005E3449"/>
    <w:rsid w:val="005E77B6"/>
    <w:rsid w:val="005F3756"/>
    <w:rsid w:val="005F6242"/>
    <w:rsid w:val="005F6274"/>
    <w:rsid w:val="00600E72"/>
    <w:rsid w:val="006021EC"/>
    <w:rsid w:val="00606708"/>
    <w:rsid w:val="00610D9A"/>
    <w:rsid w:val="006137EC"/>
    <w:rsid w:val="00615808"/>
    <w:rsid w:val="006162AD"/>
    <w:rsid w:val="00616FAF"/>
    <w:rsid w:val="00616FEF"/>
    <w:rsid w:val="00621C8B"/>
    <w:rsid w:val="0062245B"/>
    <w:rsid w:val="00624E4A"/>
    <w:rsid w:val="00625B3C"/>
    <w:rsid w:val="00633450"/>
    <w:rsid w:val="0063373C"/>
    <w:rsid w:val="00636007"/>
    <w:rsid w:val="0064617C"/>
    <w:rsid w:val="00647627"/>
    <w:rsid w:val="00647F33"/>
    <w:rsid w:val="00650189"/>
    <w:rsid w:val="00650BC6"/>
    <w:rsid w:val="00650E1A"/>
    <w:rsid w:val="006511A6"/>
    <w:rsid w:val="006512E8"/>
    <w:rsid w:val="00654A61"/>
    <w:rsid w:val="00655E86"/>
    <w:rsid w:val="00656FB2"/>
    <w:rsid w:val="00660A87"/>
    <w:rsid w:val="0066237B"/>
    <w:rsid w:val="00663075"/>
    <w:rsid w:val="00664851"/>
    <w:rsid w:val="00665986"/>
    <w:rsid w:val="0066604B"/>
    <w:rsid w:val="006661A1"/>
    <w:rsid w:val="00672EEE"/>
    <w:rsid w:val="00673956"/>
    <w:rsid w:val="00673B48"/>
    <w:rsid w:val="00673E85"/>
    <w:rsid w:val="00674FCA"/>
    <w:rsid w:val="0068087C"/>
    <w:rsid w:val="00680F65"/>
    <w:rsid w:val="00684177"/>
    <w:rsid w:val="006871F7"/>
    <w:rsid w:val="00687338"/>
    <w:rsid w:val="006A1F12"/>
    <w:rsid w:val="006A2F68"/>
    <w:rsid w:val="006A4A59"/>
    <w:rsid w:val="006A627B"/>
    <w:rsid w:val="006A6E57"/>
    <w:rsid w:val="006A78E5"/>
    <w:rsid w:val="006B0343"/>
    <w:rsid w:val="006B1162"/>
    <w:rsid w:val="006B2816"/>
    <w:rsid w:val="006B3AB6"/>
    <w:rsid w:val="006B45C6"/>
    <w:rsid w:val="006B5BEE"/>
    <w:rsid w:val="006B5BFB"/>
    <w:rsid w:val="006B6DB1"/>
    <w:rsid w:val="006B78A4"/>
    <w:rsid w:val="006C31E6"/>
    <w:rsid w:val="006D1E3E"/>
    <w:rsid w:val="006D3679"/>
    <w:rsid w:val="006D419B"/>
    <w:rsid w:val="006D65A1"/>
    <w:rsid w:val="006D7D26"/>
    <w:rsid w:val="006E0CED"/>
    <w:rsid w:val="006E0D70"/>
    <w:rsid w:val="006E1B9B"/>
    <w:rsid w:val="006E471D"/>
    <w:rsid w:val="006F4120"/>
    <w:rsid w:val="006F475A"/>
    <w:rsid w:val="006F6854"/>
    <w:rsid w:val="0070319F"/>
    <w:rsid w:val="007066E1"/>
    <w:rsid w:val="00713823"/>
    <w:rsid w:val="0072392F"/>
    <w:rsid w:val="0072470E"/>
    <w:rsid w:val="00724B70"/>
    <w:rsid w:val="00726A7E"/>
    <w:rsid w:val="00732133"/>
    <w:rsid w:val="00733239"/>
    <w:rsid w:val="00733EBA"/>
    <w:rsid w:val="007350A1"/>
    <w:rsid w:val="00735CCF"/>
    <w:rsid w:val="00736ECC"/>
    <w:rsid w:val="00737702"/>
    <w:rsid w:val="00741521"/>
    <w:rsid w:val="00741C85"/>
    <w:rsid w:val="007447AB"/>
    <w:rsid w:val="00750882"/>
    <w:rsid w:val="0075286D"/>
    <w:rsid w:val="0075732F"/>
    <w:rsid w:val="00761C89"/>
    <w:rsid w:val="00762818"/>
    <w:rsid w:val="00763717"/>
    <w:rsid w:val="007640A1"/>
    <w:rsid w:val="00765BBC"/>
    <w:rsid w:val="00765C48"/>
    <w:rsid w:val="00767014"/>
    <w:rsid w:val="00771B17"/>
    <w:rsid w:val="00771B85"/>
    <w:rsid w:val="00781121"/>
    <w:rsid w:val="00782757"/>
    <w:rsid w:val="00785240"/>
    <w:rsid w:val="007857BB"/>
    <w:rsid w:val="00786F3F"/>
    <w:rsid w:val="007923C3"/>
    <w:rsid w:val="00792B4E"/>
    <w:rsid w:val="00794FBB"/>
    <w:rsid w:val="007969CA"/>
    <w:rsid w:val="00796A74"/>
    <w:rsid w:val="007A020E"/>
    <w:rsid w:val="007A46E4"/>
    <w:rsid w:val="007A6780"/>
    <w:rsid w:val="007A6AE8"/>
    <w:rsid w:val="007A7F74"/>
    <w:rsid w:val="007A7F9F"/>
    <w:rsid w:val="007B0470"/>
    <w:rsid w:val="007B4358"/>
    <w:rsid w:val="007C0179"/>
    <w:rsid w:val="007D0531"/>
    <w:rsid w:val="007D173F"/>
    <w:rsid w:val="007D6476"/>
    <w:rsid w:val="007D7A56"/>
    <w:rsid w:val="007E0229"/>
    <w:rsid w:val="007E0D28"/>
    <w:rsid w:val="007E34FB"/>
    <w:rsid w:val="007E48B6"/>
    <w:rsid w:val="007F1044"/>
    <w:rsid w:val="007F2028"/>
    <w:rsid w:val="007F2C39"/>
    <w:rsid w:val="007F3B93"/>
    <w:rsid w:val="007F4A2E"/>
    <w:rsid w:val="007F72ED"/>
    <w:rsid w:val="007F7FD4"/>
    <w:rsid w:val="00801084"/>
    <w:rsid w:val="00802D0E"/>
    <w:rsid w:val="00805DD5"/>
    <w:rsid w:val="00810013"/>
    <w:rsid w:val="008213CB"/>
    <w:rsid w:val="00822904"/>
    <w:rsid w:val="00823706"/>
    <w:rsid w:val="0082600C"/>
    <w:rsid w:val="00830F22"/>
    <w:rsid w:val="00830F6F"/>
    <w:rsid w:val="00833371"/>
    <w:rsid w:val="00836401"/>
    <w:rsid w:val="008367D0"/>
    <w:rsid w:val="0084060B"/>
    <w:rsid w:val="00845025"/>
    <w:rsid w:val="008459E3"/>
    <w:rsid w:val="00851463"/>
    <w:rsid w:val="00851507"/>
    <w:rsid w:val="00855275"/>
    <w:rsid w:val="00855BFC"/>
    <w:rsid w:val="00855E3A"/>
    <w:rsid w:val="00855EE9"/>
    <w:rsid w:val="00855F50"/>
    <w:rsid w:val="008614CC"/>
    <w:rsid w:val="00866FC2"/>
    <w:rsid w:val="008673A8"/>
    <w:rsid w:val="0086757B"/>
    <w:rsid w:val="00871A04"/>
    <w:rsid w:val="00872D64"/>
    <w:rsid w:val="0087669E"/>
    <w:rsid w:val="00876AE4"/>
    <w:rsid w:val="0087788F"/>
    <w:rsid w:val="00877E3F"/>
    <w:rsid w:val="0088543D"/>
    <w:rsid w:val="00886453"/>
    <w:rsid w:val="0089372D"/>
    <w:rsid w:val="00896518"/>
    <w:rsid w:val="008A09ED"/>
    <w:rsid w:val="008A1F6D"/>
    <w:rsid w:val="008A416C"/>
    <w:rsid w:val="008A4A76"/>
    <w:rsid w:val="008B0A4A"/>
    <w:rsid w:val="008B245F"/>
    <w:rsid w:val="008B3329"/>
    <w:rsid w:val="008B5767"/>
    <w:rsid w:val="008B5DEE"/>
    <w:rsid w:val="008B5FF8"/>
    <w:rsid w:val="008C2CFD"/>
    <w:rsid w:val="008C3457"/>
    <w:rsid w:val="008C4991"/>
    <w:rsid w:val="008D1926"/>
    <w:rsid w:val="008D38E0"/>
    <w:rsid w:val="008D46E1"/>
    <w:rsid w:val="008D6CD4"/>
    <w:rsid w:val="008E28D3"/>
    <w:rsid w:val="008E5EE1"/>
    <w:rsid w:val="008F0F9E"/>
    <w:rsid w:val="008F14DC"/>
    <w:rsid w:val="008F284E"/>
    <w:rsid w:val="008F32CE"/>
    <w:rsid w:val="008F4949"/>
    <w:rsid w:val="008F4FC4"/>
    <w:rsid w:val="008F5083"/>
    <w:rsid w:val="008F6992"/>
    <w:rsid w:val="00902288"/>
    <w:rsid w:val="0090407F"/>
    <w:rsid w:val="00905DDA"/>
    <w:rsid w:val="00906269"/>
    <w:rsid w:val="00906A3C"/>
    <w:rsid w:val="0091294F"/>
    <w:rsid w:val="0091557B"/>
    <w:rsid w:val="009232B3"/>
    <w:rsid w:val="00923521"/>
    <w:rsid w:val="00924A6E"/>
    <w:rsid w:val="00924F56"/>
    <w:rsid w:val="00926FF7"/>
    <w:rsid w:val="00931489"/>
    <w:rsid w:val="00933C4F"/>
    <w:rsid w:val="00935C66"/>
    <w:rsid w:val="00935D21"/>
    <w:rsid w:val="00937BB6"/>
    <w:rsid w:val="009405F0"/>
    <w:rsid w:val="009427E0"/>
    <w:rsid w:val="0094416B"/>
    <w:rsid w:val="00944E43"/>
    <w:rsid w:val="00945742"/>
    <w:rsid w:val="00947E04"/>
    <w:rsid w:val="00953DF9"/>
    <w:rsid w:val="00954E44"/>
    <w:rsid w:val="00957192"/>
    <w:rsid w:val="00961CE0"/>
    <w:rsid w:val="0096465C"/>
    <w:rsid w:val="00964878"/>
    <w:rsid w:val="00965004"/>
    <w:rsid w:val="009703B0"/>
    <w:rsid w:val="0097313A"/>
    <w:rsid w:val="00973958"/>
    <w:rsid w:val="00974E86"/>
    <w:rsid w:val="00975F9A"/>
    <w:rsid w:val="009768CA"/>
    <w:rsid w:val="0098008F"/>
    <w:rsid w:val="00982307"/>
    <w:rsid w:val="0098573B"/>
    <w:rsid w:val="009966FE"/>
    <w:rsid w:val="00997BF1"/>
    <w:rsid w:val="009A059A"/>
    <w:rsid w:val="009A0B67"/>
    <w:rsid w:val="009A1A49"/>
    <w:rsid w:val="009A1E4D"/>
    <w:rsid w:val="009A27AB"/>
    <w:rsid w:val="009A501C"/>
    <w:rsid w:val="009A535C"/>
    <w:rsid w:val="009A622A"/>
    <w:rsid w:val="009A6A4D"/>
    <w:rsid w:val="009B214C"/>
    <w:rsid w:val="009B2F68"/>
    <w:rsid w:val="009B3B6F"/>
    <w:rsid w:val="009C12E1"/>
    <w:rsid w:val="009C313B"/>
    <w:rsid w:val="009C4C28"/>
    <w:rsid w:val="009C69BA"/>
    <w:rsid w:val="009C6E4F"/>
    <w:rsid w:val="009C79A0"/>
    <w:rsid w:val="009D5561"/>
    <w:rsid w:val="009D5E9E"/>
    <w:rsid w:val="009D7354"/>
    <w:rsid w:val="009E1CFE"/>
    <w:rsid w:val="009E1DC5"/>
    <w:rsid w:val="009E7932"/>
    <w:rsid w:val="009F017B"/>
    <w:rsid w:val="009F37B3"/>
    <w:rsid w:val="009F5B88"/>
    <w:rsid w:val="009F6EC8"/>
    <w:rsid w:val="009F70B6"/>
    <w:rsid w:val="00A00548"/>
    <w:rsid w:val="00A00EE8"/>
    <w:rsid w:val="00A029D4"/>
    <w:rsid w:val="00A06784"/>
    <w:rsid w:val="00A131A1"/>
    <w:rsid w:val="00A13456"/>
    <w:rsid w:val="00A14792"/>
    <w:rsid w:val="00A151A3"/>
    <w:rsid w:val="00A209BD"/>
    <w:rsid w:val="00A22F40"/>
    <w:rsid w:val="00A278B3"/>
    <w:rsid w:val="00A306A6"/>
    <w:rsid w:val="00A30E7A"/>
    <w:rsid w:val="00A31240"/>
    <w:rsid w:val="00A31F51"/>
    <w:rsid w:val="00A32A2F"/>
    <w:rsid w:val="00A35BCD"/>
    <w:rsid w:val="00A410C6"/>
    <w:rsid w:val="00A425F5"/>
    <w:rsid w:val="00A433AE"/>
    <w:rsid w:val="00A43499"/>
    <w:rsid w:val="00A43FDA"/>
    <w:rsid w:val="00A44830"/>
    <w:rsid w:val="00A4723B"/>
    <w:rsid w:val="00A475E2"/>
    <w:rsid w:val="00A50BAF"/>
    <w:rsid w:val="00A5140C"/>
    <w:rsid w:val="00A52EAB"/>
    <w:rsid w:val="00A53948"/>
    <w:rsid w:val="00A55B4C"/>
    <w:rsid w:val="00A55D9E"/>
    <w:rsid w:val="00A56519"/>
    <w:rsid w:val="00A56C59"/>
    <w:rsid w:val="00A61963"/>
    <w:rsid w:val="00A63582"/>
    <w:rsid w:val="00A642D3"/>
    <w:rsid w:val="00A64CB2"/>
    <w:rsid w:val="00A675E0"/>
    <w:rsid w:val="00A70C7B"/>
    <w:rsid w:val="00A71473"/>
    <w:rsid w:val="00A71986"/>
    <w:rsid w:val="00A73698"/>
    <w:rsid w:val="00A75A80"/>
    <w:rsid w:val="00A7757E"/>
    <w:rsid w:val="00A775CA"/>
    <w:rsid w:val="00A777B3"/>
    <w:rsid w:val="00A8269A"/>
    <w:rsid w:val="00A8337F"/>
    <w:rsid w:val="00A85702"/>
    <w:rsid w:val="00A858C8"/>
    <w:rsid w:val="00A87FAF"/>
    <w:rsid w:val="00A91360"/>
    <w:rsid w:val="00A91B24"/>
    <w:rsid w:val="00A9351D"/>
    <w:rsid w:val="00A936D4"/>
    <w:rsid w:val="00AA422E"/>
    <w:rsid w:val="00AA43F4"/>
    <w:rsid w:val="00AB33B3"/>
    <w:rsid w:val="00AB71C2"/>
    <w:rsid w:val="00AC5D3D"/>
    <w:rsid w:val="00AD05AB"/>
    <w:rsid w:val="00AD369A"/>
    <w:rsid w:val="00AD7394"/>
    <w:rsid w:val="00AE014B"/>
    <w:rsid w:val="00AE0E46"/>
    <w:rsid w:val="00AE1050"/>
    <w:rsid w:val="00AE2B6B"/>
    <w:rsid w:val="00AE3F10"/>
    <w:rsid w:val="00AE6DB8"/>
    <w:rsid w:val="00AF7B85"/>
    <w:rsid w:val="00B00CE8"/>
    <w:rsid w:val="00B04158"/>
    <w:rsid w:val="00B04A1A"/>
    <w:rsid w:val="00B04CF2"/>
    <w:rsid w:val="00B06CC8"/>
    <w:rsid w:val="00B0762D"/>
    <w:rsid w:val="00B12CF0"/>
    <w:rsid w:val="00B204ED"/>
    <w:rsid w:val="00B24409"/>
    <w:rsid w:val="00B27A6F"/>
    <w:rsid w:val="00B31132"/>
    <w:rsid w:val="00B31C11"/>
    <w:rsid w:val="00B320A4"/>
    <w:rsid w:val="00B3261F"/>
    <w:rsid w:val="00B32DB2"/>
    <w:rsid w:val="00B44726"/>
    <w:rsid w:val="00B44EE1"/>
    <w:rsid w:val="00B450D6"/>
    <w:rsid w:val="00B53D4F"/>
    <w:rsid w:val="00B54782"/>
    <w:rsid w:val="00B56DBA"/>
    <w:rsid w:val="00B63F00"/>
    <w:rsid w:val="00B643ED"/>
    <w:rsid w:val="00B66C22"/>
    <w:rsid w:val="00B740CD"/>
    <w:rsid w:val="00B756A8"/>
    <w:rsid w:val="00B778C3"/>
    <w:rsid w:val="00B86D42"/>
    <w:rsid w:val="00B94583"/>
    <w:rsid w:val="00B94CF7"/>
    <w:rsid w:val="00B94E45"/>
    <w:rsid w:val="00BA6362"/>
    <w:rsid w:val="00BA6961"/>
    <w:rsid w:val="00BA6D61"/>
    <w:rsid w:val="00BB2C58"/>
    <w:rsid w:val="00BB6B18"/>
    <w:rsid w:val="00BC144B"/>
    <w:rsid w:val="00BC1D61"/>
    <w:rsid w:val="00BD225C"/>
    <w:rsid w:val="00BE294C"/>
    <w:rsid w:val="00BE6643"/>
    <w:rsid w:val="00BE6AA0"/>
    <w:rsid w:val="00BE7625"/>
    <w:rsid w:val="00BF046F"/>
    <w:rsid w:val="00BF2789"/>
    <w:rsid w:val="00BF397B"/>
    <w:rsid w:val="00BF3B88"/>
    <w:rsid w:val="00BF4AA6"/>
    <w:rsid w:val="00BF4F2A"/>
    <w:rsid w:val="00BF5E1B"/>
    <w:rsid w:val="00BF70E1"/>
    <w:rsid w:val="00C00FD5"/>
    <w:rsid w:val="00C06DD8"/>
    <w:rsid w:val="00C10975"/>
    <w:rsid w:val="00C11E4D"/>
    <w:rsid w:val="00C13D7A"/>
    <w:rsid w:val="00C25F61"/>
    <w:rsid w:val="00C26408"/>
    <w:rsid w:val="00C34C2A"/>
    <w:rsid w:val="00C34CEC"/>
    <w:rsid w:val="00C40D69"/>
    <w:rsid w:val="00C415A1"/>
    <w:rsid w:val="00C46495"/>
    <w:rsid w:val="00C47094"/>
    <w:rsid w:val="00C51DF9"/>
    <w:rsid w:val="00C525BD"/>
    <w:rsid w:val="00C55C79"/>
    <w:rsid w:val="00C55F32"/>
    <w:rsid w:val="00C60460"/>
    <w:rsid w:val="00C60DF6"/>
    <w:rsid w:val="00C621D2"/>
    <w:rsid w:val="00C6641F"/>
    <w:rsid w:val="00C66E45"/>
    <w:rsid w:val="00C66EFA"/>
    <w:rsid w:val="00C67250"/>
    <w:rsid w:val="00C72FDA"/>
    <w:rsid w:val="00C73512"/>
    <w:rsid w:val="00C73C2A"/>
    <w:rsid w:val="00C7426F"/>
    <w:rsid w:val="00C75EF9"/>
    <w:rsid w:val="00C80485"/>
    <w:rsid w:val="00C812B2"/>
    <w:rsid w:val="00C92080"/>
    <w:rsid w:val="00C93938"/>
    <w:rsid w:val="00CA28C8"/>
    <w:rsid w:val="00CA764A"/>
    <w:rsid w:val="00CA7656"/>
    <w:rsid w:val="00CB0FC5"/>
    <w:rsid w:val="00CB2FF3"/>
    <w:rsid w:val="00CB527A"/>
    <w:rsid w:val="00CB7780"/>
    <w:rsid w:val="00CC13C3"/>
    <w:rsid w:val="00CC2186"/>
    <w:rsid w:val="00CC4FAD"/>
    <w:rsid w:val="00CC5A8D"/>
    <w:rsid w:val="00CC633C"/>
    <w:rsid w:val="00CC66AD"/>
    <w:rsid w:val="00CC6D31"/>
    <w:rsid w:val="00CC72B8"/>
    <w:rsid w:val="00CD3A15"/>
    <w:rsid w:val="00CD4844"/>
    <w:rsid w:val="00CE1B66"/>
    <w:rsid w:val="00CE1CBA"/>
    <w:rsid w:val="00CE2E88"/>
    <w:rsid w:val="00CE4750"/>
    <w:rsid w:val="00CE7D05"/>
    <w:rsid w:val="00CE7EC4"/>
    <w:rsid w:val="00CF0004"/>
    <w:rsid w:val="00CF0206"/>
    <w:rsid w:val="00CF1740"/>
    <w:rsid w:val="00CF4777"/>
    <w:rsid w:val="00D035CF"/>
    <w:rsid w:val="00D07919"/>
    <w:rsid w:val="00D1121E"/>
    <w:rsid w:val="00D15AAC"/>
    <w:rsid w:val="00D31158"/>
    <w:rsid w:val="00D37B4E"/>
    <w:rsid w:val="00D4149E"/>
    <w:rsid w:val="00D439C7"/>
    <w:rsid w:val="00D44477"/>
    <w:rsid w:val="00D563C9"/>
    <w:rsid w:val="00D6032B"/>
    <w:rsid w:val="00D61A50"/>
    <w:rsid w:val="00D62505"/>
    <w:rsid w:val="00D64051"/>
    <w:rsid w:val="00D64CE7"/>
    <w:rsid w:val="00D6541A"/>
    <w:rsid w:val="00D66F06"/>
    <w:rsid w:val="00D712A3"/>
    <w:rsid w:val="00D76A2B"/>
    <w:rsid w:val="00D80C77"/>
    <w:rsid w:val="00D835AE"/>
    <w:rsid w:val="00D84AD4"/>
    <w:rsid w:val="00D84F0A"/>
    <w:rsid w:val="00D90762"/>
    <w:rsid w:val="00D90C94"/>
    <w:rsid w:val="00D948C1"/>
    <w:rsid w:val="00D954B1"/>
    <w:rsid w:val="00D979E5"/>
    <w:rsid w:val="00DA203D"/>
    <w:rsid w:val="00DA49FD"/>
    <w:rsid w:val="00DA76FB"/>
    <w:rsid w:val="00DB03A0"/>
    <w:rsid w:val="00DB2320"/>
    <w:rsid w:val="00DC286F"/>
    <w:rsid w:val="00DC43E8"/>
    <w:rsid w:val="00DC444B"/>
    <w:rsid w:val="00DC4B22"/>
    <w:rsid w:val="00DC56C4"/>
    <w:rsid w:val="00DC60A1"/>
    <w:rsid w:val="00DC6D4D"/>
    <w:rsid w:val="00DC7CFC"/>
    <w:rsid w:val="00DD1291"/>
    <w:rsid w:val="00DD51A4"/>
    <w:rsid w:val="00DD5248"/>
    <w:rsid w:val="00DD6C73"/>
    <w:rsid w:val="00DD79BA"/>
    <w:rsid w:val="00DE0FCB"/>
    <w:rsid w:val="00DE3115"/>
    <w:rsid w:val="00DE5704"/>
    <w:rsid w:val="00DF1514"/>
    <w:rsid w:val="00DF1A34"/>
    <w:rsid w:val="00DF253F"/>
    <w:rsid w:val="00DF2702"/>
    <w:rsid w:val="00DF2964"/>
    <w:rsid w:val="00E02866"/>
    <w:rsid w:val="00E049B3"/>
    <w:rsid w:val="00E10056"/>
    <w:rsid w:val="00E1275F"/>
    <w:rsid w:val="00E13102"/>
    <w:rsid w:val="00E14165"/>
    <w:rsid w:val="00E21646"/>
    <w:rsid w:val="00E2453C"/>
    <w:rsid w:val="00E267CC"/>
    <w:rsid w:val="00E30B0E"/>
    <w:rsid w:val="00E30D32"/>
    <w:rsid w:val="00E31D70"/>
    <w:rsid w:val="00E31E05"/>
    <w:rsid w:val="00E328B8"/>
    <w:rsid w:val="00E3353F"/>
    <w:rsid w:val="00E34899"/>
    <w:rsid w:val="00E40FB1"/>
    <w:rsid w:val="00E424C7"/>
    <w:rsid w:val="00E46506"/>
    <w:rsid w:val="00E50BB6"/>
    <w:rsid w:val="00E50C10"/>
    <w:rsid w:val="00E5158E"/>
    <w:rsid w:val="00E560C6"/>
    <w:rsid w:val="00E630AE"/>
    <w:rsid w:val="00E6342C"/>
    <w:rsid w:val="00E63C08"/>
    <w:rsid w:val="00E671BC"/>
    <w:rsid w:val="00E67826"/>
    <w:rsid w:val="00E7022F"/>
    <w:rsid w:val="00E706E3"/>
    <w:rsid w:val="00E718E6"/>
    <w:rsid w:val="00E72361"/>
    <w:rsid w:val="00E83BA0"/>
    <w:rsid w:val="00E83E27"/>
    <w:rsid w:val="00E86367"/>
    <w:rsid w:val="00E86BC7"/>
    <w:rsid w:val="00E90081"/>
    <w:rsid w:val="00E906CB"/>
    <w:rsid w:val="00E94713"/>
    <w:rsid w:val="00EA0794"/>
    <w:rsid w:val="00EA4887"/>
    <w:rsid w:val="00EA53DF"/>
    <w:rsid w:val="00EA67BD"/>
    <w:rsid w:val="00EB1E99"/>
    <w:rsid w:val="00EB202E"/>
    <w:rsid w:val="00EB263E"/>
    <w:rsid w:val="00EB59E5"/>
    <w:rsid w:val="00EC66D5"/>
    <w:rsid w:val="00EC6C3C"/>
    <w:rsid w:val="00EC739E"/>
    <w:rsid w:val="00ED2AD2"/>
    <w:rsid w:val="00ED429B"/>
    <w:rsid w:val="00ED5AD4"/>
    <w:rsid w:val="00ED671B"/>
    <w:rsid w:val="00EE530C"/>
    <w:rsid w:val="00EE6BB9"/>
    <w:rsid w:val="00EE73E9"/>
    <w:rsid w:val="00EF1EE4"/>
    <w:rsid w:val="00EF5568"/>
    <w:rsid w:val="00EF6E7C"/>
    <w:rsid w:val="00EF715D"/>
    <w:rsid w:val="00F008F3"/>
    <w:rsid w:val="00F03D11"/>
    <w:rsid w:val="00F10574"/>
    <w:rsid w:val="00F20508"/>
    <w:rsid w:val="00F20662"/>
    <w:rsid w:val="00F20856"/>
    <w:rsid w:val="00F20C94"/>
    <w:rsid w:val="00F21765"/>
    <w:rsid w:val="00F232CA"/>
    <w:rsid w:val="00F25BBE"/>
    <w:rsid w:val="00F271B4"/>
    <w:rsid w:val="00F31376"/>
    <w:rsid w:val="00F32FCD"/>
    <w:rsid w:val="00F33762"/>
    <w:rsid w:val="00F341B8"/>
    <w:rsid w:val="00F35201"/>
    <w:rsid w:val="00F35AA9"/>
    <w:rsid w:val="00F37348"/>
    <w:rsid w:val="00F42220"/>
    <w:rsid w:val="00F42EB1"/>
    <w:rsid w:val="00F43183"/>
    <w:rsid w:val="00F52E42"/>
    <w:rsid w:val="00F53CCE"/>
    <w:rsid w:val="00F571C7"/>
    <w:rsid w:val="00F57D56"/>
    <w:rsid w:val="00F61F55"/>
    <w:rsid w:val="00F6204C"/>
    <w:rsid w:val="00F62300"/>
    <w:rsid w:val="00F63F25"/>
    <w:rsid w:val="00F67481"/>
    <w:rsid w:val="00F76289"/>
    <w:rsid w:val="00F80CB5"/>
    <w:rsid w:val="00F81796"/>
    <w:rsid w:val="00F81B43"/>
    <w:rsid w:val="00F90F75"/>
    <w:rsid w:val="00F92B88"/>
    <w:rsid w:val="00F92EF0"/>
    <w:rsid w:val="00F93AEC"/>
    <w:rsid w:val="00F95DD8"/>
    <w:rsid w:val="00FA1B89"/>
    <w:rsid w:val="00FA42EB"/>
    <w:rsid w:val="00FB51B0"/>
    <w:rsid w:val="00FB51C7"/>
    <w:rsid w:val="00FB51C8"/>
    <w:rsid w:val="00FB5854"/>
    <w:rsid w:val="00FB6055"/>
    <w:rsid w:val="00FC22C3"/>
    <w:rsid w:val="00FC2A76"/>
    <w:rsid w:val="00FC4848"/>
    <w:rsid w:val="00FC7204"/>
    <w:rsid w:val="00FD006A"/>
    <w:rsid w:val="00FD150F"/>
    <w:rsid w:val="00FD194D"/>
    <w:rsid w:val="00FE1B82"/>
    <w:rsid w:val="00FF4605"/>
    <w:rsid w:val="00FF578E"/>
    <w:rsid w:val="00FF6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9303470"/>
  <w15:docId w15:val="{2BB7C4BA-D777-4F3B-A690-C4D5E6908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65986"/>
    <w:rPr>
      <w:rFonts w:ascii="Arial" w:hAnsi="Arial"/>
      <w:sz w:val="22"/>
      <w:lang w:val="en-US"/>
    </w:rPr>
  </w:style>
  <w:style w:type="paragraph" w:styleId="Heading1">
    <w:name w:val="heading 1"/>
    <w:basedOn w:val="Normal"/>
    <w:next w:val="Normal"/>
    <w:link w:val="Heading1Char"/>
    <w:autoRedefine/>
    <w:qFormat/>
    <w:rsid w:val="00665986"/>
    <w:pPr>
      <w:keepNext/>
      <w:spacing w:before="240" w:after="120"/>
      <w:jc w:val="center"/>
      <w:outlineLvl w:val="0"/>
    </w:pPr>
    <w:rPr>
      <w:b/>
      <w:caps/>
      <w:sz w:val="32"/>
      <w:szCs w:val="24"/>
      <w:lang w:val="en-CA"/>
    </w:rPr>
  </w:style>
  <w:style w:type="paragraph" w:styleId="Heading2">
    <w:name w:val="heading 2"/>
    <w:basedOn w:val="Normal"/>
    <w:next w:val="Normal"/>
    <w:link w:val="Heading2Char"/>
    <w:autoRedefine/>
    <w:qFormat/>
    <w:rsid w:val="00665986"/>
    <w:pPr>
      <w:keepNext/>
      <w:spacing w:before="240" w:after="120"/>
      <w:outlineLvl w:val="1"/>
    </w:pPr>
    <w:rPr>
      <w:b/>
      <w:caps/>
      <w:sz w:val="28"/>
      <w:szCs w:val="28"/>
      <w:lang w:val="en-CA"/>
    </w:rPr>
  </w:style>
  <w:style w:type="paragraph" w:styleId="Heading3">
    <w:name w:val="heading 3"/>
    <w:basedOn w:val="Normal"/>
    <w:next w:val="Normal"/>
    <w:link w:val="Heading3Char"/>
    <w:autoRedefine/>
    <w:qFormat/>
    <w:rsid w:val="00665986"/>
    <w:pPr>
      <w:keepNext/>
      <w:spacing w:before="240" w:after="120"/>
      <w:contextualSpacing/>
      <w:outlineLvl w:val="2"/>
    </w:pPr>
    <w:rPr>
      <w:b/>
      <w:sz w:val="24"/>
      <w:szCs w:val="22"/>
      <w:lang w:val="en-CA"/>
    </w:rPr>
  </w:style>
  <w:style w:type="paragraph" w:styleId="Heading4">
    <w:name w:val="heading 4"/>
    <w:basedOn w:val="Normal"/>
    <w:next w:val="Normal"/>
    <w:link w:val="Heading4Char"/>
    <w:autoRedefine/>
    <w:qFormat/>
    <w:rsid w:val="00665986"/>
    <w:pPr>
      <w:keepNext/>
      <w:spacing w:before="120" w:after="120"/>
      <w:ind w:left="360"/>
      <w:outlineLvl w:val="3"/>
    </w:pPr>
    <w:rPr>
      <w:b/>
      <w:bCs/>
      <w:szCs w:val="28"/>
      <w:lang w:val="en-CA"/>
    </w:rPr>
  </w:style>
  <w:style w:type="paragraph" w:styleId="Heading5">
    <w:name w:val="heading 5"/>
    <w:basedOn w:val="Normal"/>
    <w:next w:val="Normal"/>
    <w:link w:val="Heading5Char"/>
    <w:qFormat/>
    <w:rsid w:val="00665986"/>
    <w:pPr>
      <w:keepNext/>
      <w:spacing w:before="120" w:after="120"/>
      <w:ind w:left="700"/>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5986"/>
    <w:rPr>
      <w:rFonts w:ascii="Arial" w:hAnsi="Arial"/>
      <w:b/>
      <w:caps/>
      <w:sz w:val="32"/>
      <w:szCs w:val="24"/>
      <w:lang w:val="en-CA"/>
    </w:rPr>
  </w:style>
  <w:style w:type="character" w:customStyle="1" w:styleId="Heading4Char">
    <w:name w:val="Heading 4 Char"/>
    <w:basedOn w:val="DefaultParagraphFont"/>
    <w:link w:val="Heading4"/>
    <w:rsid w:val="00665986"/>
    <w:rPr>
      <w:rFonts w:ascii="Arial" w:hAnsi="Arial"/>
      <w:b/>
      <w:bCs/>
      <w:sz w:val="22"/>
      <w:szCs w:val="28"/>
      <w:lang w:val="en-CA"/>
    </w:rPr>
  </w:style>
  <w:style w:type="character" w:customStyle="1" w:styleId="Heading5Char">
    <w:name w:val="Heading 5 Char"/>
    <w:basedOn w:val="DefaultParagraphFont"/>
    <w:link w:val="Heading5"/>
    <w:rsid w:val="00665986"/>
    <w:rPr>
      <w:rFonts w:ascii="Arial" w:hAnsi="Arial"/>
      <w:i/>
      <w:sz w:val="22"/>
      <w:lang w:val="en-US"/>
    </w:rPr>
  </w:style>
  <w:style w:type="paragraph" w:styleId="BodyText">
    <w:name w:val="Body Text"/>
    <w:basedOn w:val="Normal"/>
    <w:link w:val="BodyTextChar"/>
    <w:qFormat/>
    <w:rsid w:val="00665986"/>
    <w:pPr>
      <w:spacing w:before="120" w:after="120"/>
    </w:pPr>
  </w:style>
  <w:style w:type="character" w:customStyle="1" w:styleId="BodyTextChar">
    <w:name w:val="Body Text Char"/>
    <w:basedOn w:val="DefaultParagraphFont"/>
    <w:link w:val="BodyText"/>
    <w:rsid w:val="00665986"/>
    <w:rPr>
      <w:rFonts w:ascii="Arial" w:hAnsi="Arial"/>
      <w:sz w:val="22"/>
      <w:lang w:val="en-US"/>
    </w:rPr>
  </w:style>
  <w:style w:type="paragraph" w:styleId="Header">
    <w:name w:val="header"/>
    <w:basedOn w:val="Normal"/>
    <w:link w:val="HeaderChar"/>
    <w:uiPriority w:val="99"/>
    <w:unhideWhenUsed/>
    <w:rsid w:val="00665986"/>
    <w:pPr>
      <w:tabs>
        <w:tab w:val="center" w:pos="4680"/>
        <w:tab w:val="right" w:pos="9360"/>
      </w:tabs>
    </w:pPr>
  </w:style>
  <w:style w:type="character" w:customStyle="1" w:styleId="HeaderChar">
    <w:name w:val="Header Char"/>
    <w:basedOn w:val="DefaultParagraphFont"/>
    <w:link w:val="Header"/>
    <w:uiPriority w:val="99"/>
    <w:rsid w:val="00665986"/>
    <w:rPr>
      <w:rFonts w:ascii="Arial" w:hAnsi="Arial"/>
      <w:sz w:val="22"/>
      <w:lang w:val="en-US"/>
    </w:rPr>
  </w:style>
  <w:style w:type="paragraph" w:styleId="Footer">
    <w:name w:val="footer"/>
    <w:basedOn w:val="Normal"/>
    <w:link w:val="FooterChar"/>
    <w:uiPriority w:val="99"/>
    <w:unhideWhenUsed/>
    <w:rsid w:val="00665986"/>
    <w:pPr>
      <w:tabs>
        <w:tab w:val="center" w:pos="4680"/>
        <w:tab w:val="right" w:pos="9360"/>
      </w:tabs>
    </w:pPr>
  </w:style>
  <w:style w:type="character" w:customStyle="1" w:styleId="FooterChar">
    <w:name w:val="Footer Char"/>
    <w:basedOn w:val="DefaultParagraphFont"/>
    <w:link w:val="Footer"/>
    <w:uiPriority w:val="99"/>
    <w:rsid w:val="00665986"/>
    <w:rPr>
      <w:rFonts w:ascii="Arial" w:hAnsi="Arial"/>
      <w:sz w:val="22"/>
      <w:lang w:val="en-US"/>
    </w:rPr>
  </w:style>
  <w:style w:type="character" w:styleId="PageNumber">
    <w:name w:val="page number"/>
    <w:rsid w:val="00665986"/>
    <w:rPr>
      <w:rFonts w:ascii="Arial" w:hAnsi="Arial"/>
      <w:sz w:val="20"/>
    </w:rPr>
  </w:style>
  <w:style w:type="paragraph" w:styleId="BalloonText">
    <w:name w:val="Balloon Text"/>
    <w:basedOn w:val="Normal"/>
    <w:link w:val="BalloonTextChar"/>
    <w:semiHidden/>
    <w:rsid w:val="00665986"/>
    <w:rPr>
      <w:rFonts w:ascii="Tahoma" w:hAnsi="Tahoma" w:cs="Tahoma"/>
      <w:sz w:val="16"/>
      <w:szCs w:val="16"/>
    </w:rPr>
  </w:style>
  <w:style w:type="character" w:customStyle="1" w:styleId="BalloonTextChar">
    <w:name w:val="Balloon Text Char"/>
    <w:basedOn w:val="DefaultParagraphFont"/>
    <w:link w:val="BalloonText"/>
    <w:semiHidden/>
    <w:rsid w:val="00665986"/>
    <w:rPr>
      <w:rFonts w:ascii="Tahoma" w:hAnsi="Tahoma" w:cs="Tahoma"/>
      <w:sz w:val="16"/>
      <w:szCs w:val="16"/>
      <w:lang w:val="en-US"/>
    </w:rPr>
  </w:style>
  <w:style w:type="paragraph" w:styleId="DocumentMap">
    <w:name w:val="Document Map"/>
    <w:basedOn w:val="Normal"/>
    <w:link w:val="DocumentMapChar"/>
    <w:uiPriority w:val="99"/>
    <w:semiHidden/>
    <w:rsid w:val="0066598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665986"/>
    <w:rPr>
      <w:rFonts w:ascii="Tahoma" w:hAnsi="Tahoma" w:cs="Tahoma"/>
      <w:sz w:val="22"/>
      <w:shd w:val="clear" w:color="auto" w:fill="000080"/>
      <w:lang w:val="en-US"/>
    </w:rPr>
  </w:style>
  <w:style w:type="paragraph" w:customStyle="1" w:styleId="Reference">
    <w:name w:val="Reference"/>
    <w:basedOn w:val="Normal"/>
    <w:uiPriority w:val="99"/>
    <w:rsid w:val="00665986"/>
    <w:pPr>
      <w:ind w:left="720" w:hanging="720"/>
      <w:jc w:val="both"/>
    </w:pPr>
  </w:style>
  <w:style w:type="paragraph" w:styleId="Title">
    <w:name w:val="Title"/>
    <w:basedOn w:val="Normal"/>
    <w:link w:val="TitleChar"/>
    <w:uiPriority w:val="99"/>
    <w:qFormat/>
    <w:rsid w:val="00665986"/>
    <w:pPr>
      <w:spacing w:before="240" w:after="60"/>
      <w:jc w:val="center"/>
      <w:outlineLvl w:val="0"/>
    </w:pPr>
    <w:rPr>
      <w:b/>
      <w:bCs/>
      <w:kern w:val="28"/>
      <w:sz w:val="28"/>
      <w:szCs w:val="28"/>
    </w:rPr>
  </w:style>
  <w:style w:type="character" w:customStyle="1" w:styleId="TitleChar">
    <w:name w:val="Title Char"/>
    <w:basedOn w:val="DefaultParagraphFont"/>
    <w:link w:val="Title"/>
    <w:uiPriority w:val="99"/>
    <w:rsid w:val="00665986"/>
    <w:rPr>
      <w:rFonts w:ascii="Arial" w:hAnsi="Arial"/>
      <w:b/>
      <w:bCs/>
      <w:kern w:val="28"/>
      <w:sz w:val="28"/>
      <w:szCs w:val="28"/>
      <w:lang w:val="en-US"/>
    </w:rPr>
  </w:style>
  <w:style w:type="paragraph" w:customStyle="1" w:styleId="BodyTable">
    <w:name w:val="Body Table"/>
    <w:basedOn w:val="Normal"/>
    <w:uiPriority w:val="99"/>
    <w:rsid w:val="00665986"/>
    <w:pPr>
      <w:jc w:val="right"/>
    </w:pPr>
    <w:rPr>
      <w:sz w:val="16"/>
      <w:szCs w:val="16"/>
    </w:rPr>
  </w:style>
  <w:style w:type="paragraph" w:customStyle="1" w:styleId="ref">
    <w:name w:val="ref"/>
    <w:basedOn w:val="Normal"/>
    <w:rsid w:val="00665986"/>
    <w:pPr>
      <w:spacing w:after="240"/>
      <w:ind w:left="720" w:hanging="720"/>
    </w:pPr>
  </w:style>
  <w:style w:type="character" w:styleId="Hyperlink">
    <w:name w:val="Hyperlink"/>
    <w:uiPriority w:val="99"/>
    <w:qFormat/>
    <w:rsid w:val="00665986"/>
    <w:rPr>
      <w:rFonts w:ascii="Arial" w:hAnsi="Arial"/>
      <w:color w:val="0000FF"/>
      <w:sz w:val="22"/>
      <w:u w:val="single"/>
    </w:rPr>
  </w:style>
  <w:style w:type="paragraph" w:styleId="ListParagraph">
    <w:name w:val="List Paragraph"/>
    <w:basedOn w:val="Normal"/>
    <w:uiPriority w:val="34"/>
    <w:qFormat/>
    <w:rsid w:val="00665986"/>
    <w:pPr>
      <w:ind w:left="720"/>
      <w:contextualSpacing/>
    </w:pPr>
  </w:style>
  <w:style w:type="table" w:styleId="TableGrid">
    <w:name w:val="Table Grid"/>
    <w:basedOn w:val="TableNormal"/>
    <w:rsid w:val="00665986"/>
    <w:rPr>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65986"/>
    <w:rPr>
      <w:sz w:val="16"/>
      <w:szCs w:val="16"/>
    </w:rPr>
  </w:style>
  <w:style w:type="paragraph" w:styleId="CommentText">
    <w:name w:val="annotation text"/>
    <w:basedOn w:val="Normal"/>
    <w:link w:val="CommentTextChar"/>
    <w:uiPriority w:val="99"/>
    <w:semiHidden/>
    <w:unhideWhenUsed/>
    <w:rsid w:val="00665986"/>
    <w:rPr>
      <w:sz w:val="20"/>
    </w:rPr>
  </w:style>
  <w:style w:type="character" w:customStyle="1" w:styleId="CommentTextChar">
    <w:name w:val="Comment Text Char"/>
    <w:basedOn w:val="DefaultParagraphFont"/>
    <w:link w:val="CommentText"/>
    <w:uiPriority w:val="99"/>
    <w:semiHidden/>
    <w:rsid w:val="00665986"/>
    <w:rPr>
      <w:rFonts w:ascii="Arial" w:hAnsi="Arial"/>
      <w:lang w:val="en-US"/>
    </w:rPr>
  </w:style>
  <w:style w:type="paragraph" w:styleId="CommentSubject">
    <w:name w:val="annotation subject"/>
    <w:basedOn w:val="Normal"/>
    <w:link w:val="CommentSubjectChar"/>
    <w:semiHidden/>
    <w:rsid w:val="00665986"/>
    <w:rPr>
      <w:b/>
      <w:bCs/>
      <w:sz w:val="20"/>
    </w:rPr>
  </w:style>
  <w:style w:type="character" w:customStyle="1" w:styleId="CommentSubjectChar">
    <w:name w:val="Comment Subject Char"/>
    <w:basedOn w:val="CommentTextChar"/>
    <w:link w:val="CommentSubject"/>
    <w:semiHidden/>
    <w:rsid w:val="00665986"/>
    <w:rPr>
      <w:rFonts w:ascii="Arial" w:hAnsi="Arial"/>
      <w:b/>
      <w:bCs/>
      <w:lang w:val="en-US"/>
    </w:rPr>
  </w:style>
  <w:style w:type="paragraph" w:styleId="Revision">
    <w:name w:val="Revision"/>
    <w:hidden/>
    <w:uiPriority w:val="99"/>
    <w:semiHidden/>
    <w:rsid w:val="00830F6F"/>
    <w:rPr>
      <w:sz w:val="24"/>
      <w:szCs w:val="24"/>
    </w:rPr>
  </w:style>
  <w:style w:type="paragraph" w:styleId="NoSpacing">
    <w:name w:val="No Spacing"/>
    <w:uiPriority w:val="1"/>
    <w:qFormat/>
    <w:rsid w:val="00665986"/>
    <w:rPr>
      <w:rFonts w:asciiTheme="minorHAnsi" w:eastAsiaTheme="minorHAnsi" w:hAnsiTheme="minorHAnsi" w:cstheme="minorBidi"/>
      <w:sz w:val="22"/>
      <w:szCs w:val="22"/>
      <w:lang w:val="en-US"/>
    </w:rPr>
  </w:style>
  <w:style w:type="table" w:styleId="LightList-Accent2">
    <w:name w:val="Light List Accent 2"/>
    <w:basedOn w:val="TableNormal"/>
    <w:uiPriority w:val="61"/>
    <w:rsid w:val="00665986"/>
    <w:rPr>
      <w:rFonts w:ascii="Verdana" w:eastAsiaTheme="minorHAnsi" w:hAnsi="Verdana" w:cstheme="minorBidi"/>
      <w:sz w:val="17"/>
      <w:szCs w:val="22"/>
      <w:lang w:val="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Heading3Char">
    <w:name w:val="Heading 3 Char"/>
    <w:basedOn w:val="DefaultParagraphFont"/>
    <w:link w:val="Heading3"/>
    <w:rsid w:val="00665986"/>
    <w:rPr>
      <w:rFonts w:ascii="Arial" w:hAnsi="Arial"/>
      <w:b/>
      <w:sz w:val="24"/>
      <w:szCs w:val="22"/>
      <w:lang w:val="en-CA"/>
    </w:rPr>
  </w:style>
  <w:style w:type="paragraph" w:customStyle="1" w:styleId="Blockquote">
    <w:name w:val="Blockquote"/>
    <w:basedOn w:val="Normal"/>
    <w:rsid w:val="00665986"/>
    <w:pPr>
      <w:spacing w:before="120" w:after="120"/>
      <w:ind w:left="720"/>
    </w:pPr>
  </w:style>
  <w:style w:type="paragraph" w:customStyle="1" w:styleId="BodyTextBold">
    <w:name w:val="Body Text + Bold"/>
    <w:basedOn w:val="BodyText"/>
    <w:rsid w:val="00665986"/>
    <w:rPr>
      <w:b/>
    </w:rPr>
  </w:style>
  <w:style w:type="paragraph" w:customStyle="1" w:styleId="BodyTextBoldItallics">
    <w:name w:val="Body Text + Bold + Itallics"/>
    <w:basedOn w:val="BodyText"/>
    <w:rsid w:val="00665986"/>
    <w:rPr>
      <w:b/>
      <w:i/>
    </w:rPr>
  </w:style>
  <w:style w:type="paragraph" w:customStyle="1" w:styleId="BodyTextCentered">
    <w:name w:val="Body Text + Centered"/>
    <w:basedOn w:val="BodyText"/>
    <w:rsid w:val="00665986"/>
    <w:pPr>
      <w:jc w:val="center"/>
    </w:pPr>
  </w:style>
  <w:style w:type="paragraph" w:customStyle="1" w:styleId="BodyTextItalic">
    <w:name w:val="Body Text + Italic"/>
    <w:basedOn w:val="BodyText"/>
    <w:rsid w:val="00665986"/>
    <w:rPr>
      <w:i/>
      <w:lang w:val="fr-CA"/>
    </w:rPr>
  </w:style>
  <w:style w:type="paragraph" w:customStyle="1" w:styleId="Caption-Figure">
    <w:name w:val="Caption - Figure"/>
    <w:basedOn w:val="Normal"/>
    <w:qFormat/>
    <w:rsid w:val="00665986"/>
    <w:pPr>
      <w:keepLines/>
      <w:spacing w:before="120" w:after="240"/>
    </w:pPr>
    <w:rPr>
      <w:i/>
      <w:sz w:val="20"/>
    </w:rPr>
  </w:style>
  <w:style w:type="paragraph" w:customStyle="1" w:styleId="Caption-Table">
    <w:name w:val="Caption - Table"/>
    <w:basedOn w:val="Normal"/>
    <w:qFormat/>
    <w:rsid w:val="00665986"/>
    <w:pPr>
      <w:keepNext/>
      <w:keepLines/>
      <w:spacing w:before="240" w:after="120"/>
    </w:pPr>
    <w:rPr>
      <w:i/>
      <w:sz w:val="20"/>
      <w:lang w:val="en-CA"/>
    </w:rPr>
  </w:style>
  <w:style w:type="paragraph" w:customStyle="1" w:styleId="citation">
    <w:name w:val="citation"/>
    <w:basedOn w:val="Normal"/>
    <w:qFormat/>
    <w:rsid w:val="00665986"/>
    <w:pPr>
      <w:keepLines/>
      <w:spacing w:before="120" w:after="120"/>
      <w:ind w:left="360" w:hanging="360"/>
    </w:pPr>
    <w:rPr>
      <w:szCs w:val="22"/>
      <w:lang w:val="en-CA"/>
    </w:rPr>
  </w:style>
  <w:style w:type="paragraph" w:customStyle="1" w:styleId="citation-translated">
    <w:name w:val="citation - translated"/>
    <w:basedOn w:val="citation"/>
    <w:qFormat/>
    <w:rsid w:val="00665986"/>
    <w:rPr>
      <w:i/>
    </w:rPr>
  </w:style>
  <w:style w:type="paragraph" w:customStyle="1" w:styleId="Context-Heading">
    <w:name w:val="Context-Heading"/>
    <w:basedOn w:val="Normal"/>
    <w:qFormat/>
    <w:rsid w:val="00665986"/>
    <w:pPr>
      <w:spacing w:before="120" w:after="60"/>
    </w:pPr>
    <w:rPr>
      <w:b/>
      <w:sz w:val="24"/>
      <w:szCs w:val="24"/>
    </w:rPr>
  </w:style>
  <w:style w:type="paragraph" w:customStyle="1" w:styleId="Context-Hyperlink">
    <w:name w:val="Context-Hyperlink"/>
    <w:basedOn w:val="Normal"/>
    <w:link w:val="Context-HyperlinkChar"/>
    <w:rsid w:val="00665986"/>
    <w:rPr>
      <w:i/>
      <w:color w:val="0000FF"/>
      <w:sz w:val="20"/>
      <w:u w:val="single"/>
      <w:lang w:val="en-CA"/>
    </w:rPr>
  </w:style>
  <w:style w:type="character" w:customStyle="1" w:styleId="Context-HyperlinkChar">
    <w:name w:val="Context-Hyperlink Char"/>
    <w:basedOn w:val="DefaultParagraphFont"/>
    <w:link w:val="Context-Hyperlink"/>
    <w:rsid w:val="00665986"/>
    <w:rPr>
      <w:rFonts w:ascii="Arial" w:hAnsi="Arial"/>
      <w:i/>
      <w:color w:val="0000FF"/>
      <w:u w:val="single"/>
      <w:lang w:val="en-CA"/>
    </w:rPr>
  </w:style>
  <w:style w:type="paragraph" w:customStyle="1" w:styleId="Context-text">
    <w:name w:val="Context-text"/>
    <w:basedOn w:val="Normal"/>
    <w:qFormat/>
    <w:rsid w:val="00665986"/>
    <w:pPr>
      <w:spacing w:before="60" w:after="60"/>
    </w:pPr>
    <w:rPr>
      <w:i/>
      <w:iCs/>
      <w:sz w:val="20"/>
    </w:rPr>
  </w:style>
  <w:style w:type="paragraph" w:customStyle="1" w:styleId="CoverPageHeaderCSAS">
    <w:name w:val="Cover Page: Header (CSAS)"/>
    <w:basedOn w:val="BodyText"/>
    <w:link w:val="CoverPageHeaderCSASChar"/>
    <w:rsid w:val="00665986"/>
    <w:pPr>
      <w:tabs>
        <w:tab w:val="right" w:pos="9356"/>
      </w:tabs>
      <w:spacing w:after="0"/>
    </w:pPr>
    <w:rPr>
      <w:b/>
    </w:rPr>
  </w:style>
  <w:style w:type="character" w:customStyle="1" w:styleId="CoverPageHeaderCSASChar">
    <w:name w:val="Cover Page: Header (CSAS) Char"/>
    <w:basedOn w:val="BodyTextChar"/>
    <w:link w:val="CoverPageHeaderCSAS"/>
    <w:rsid w:val="00665986"/>
    <w:rPr>
      <w:rFonts w:ascii="Arial" w:hAnsi="Arial"/>
      <w:b/>
      <w:sz w:val="22"/>
      <w:lang w:val="en-US"/>
    </w:rPr>
  </w:style>
  <w:style w:type="paragraph" w:customStyle="1" w:styleId="CoverPageHeaderregions">
    <w:name w:val="Cover Page: Header (region(s)"/>
    <w:aliases w:val="series,number)"/>
    <w:basedOn w:val="Normal"/>
    <w:rsid w:val="00665986"/>
    <w:pPr>
      <w:pBdr>
        <w:bottom w:val="single" w:sz="4" w:space="1" w:color="auto"/>
      </w:pBdr>
      <w:tabs>
        <w:tab w:val="right" w:pos="9356"/>
      </w:tabs>
    </w:pPr>
    <w:rPr>
      <w:b/>
    </w:rPr>
  </w:style>
  <w:style w:type="character" w:styleId="FollowedHyperlink">
    <w:name w:val="FollowedHyperlink"/>
    <w:rsid w:val="00665986"/>
    <w:rPr>
      <w:rFonts w:ascii="Arial" w:hAnsi="Arial"/>
      <w:color w:val="800080"/>
      <w:sz w:val="22"/>
      <w:u w:val="single"/>
    </w:rPr>
  </w:style>
  <w:style w:type="character" w:styleId="FootnoteReference">
    <w:name w:val="footnote reference"/>
    <w:basedOn w:val="DefaultParagraphFont"/>
    <w:uiPriority w:val="99"/>
    <w:semiHidden/>
    <w:unhideWhenUsed/>
    <w:rsid w:val="00665986"/>
    <w:rPr>
      <w:vertAlign w:val="superscript"/>
    </w:rPr>
  </w:style>
  <w:style w:type="paragraph" w:styleId="FootnoteText">
    <w:name w:val="footnote text"/>
    <w:basedOn w:val="Normal"/>
    <w:link w:val="FootnoteTextChar"/>
    <w:uiPriority w:val="99"/>
    <w:semiHidden/>
    <w:unhideWhenUsed/>
    <w:rsid w:val="00665986"/>
    <w:rPr>
      <w:sz w:val="20"/>
    </w:rPr>
  </w:style>
  <w:style w:type="character" w:customStyle="1" w:styleId="FootnoteTextChar">
    <w:name w:val="Footnote Text Char"/>
    <w:basedOn w:val="DefaultParagraphFont"/>
    <w:link w:val="FootnoteText"/>
    <w:uiPriority w:val="99"/>
    <w:semiHidden/>
    <w:rsid w:val="00665986"/>
    <w:rPr>
      <w:rFonts w:ascii="Arial" w:hAnsi="Arial"/>
      <w:lang w:val="en-US"/>
    </w:rPr>
  </w:style>
  <w:style w:type="character" w:customStyle="1" w:styleId="Heading2Char">
    <w:name w:val="Heading 2 Char"/>
    <w:basedOn w:val="DefaultParagraphFont"/>
    <w:link w:val="Heading2"/>
    <w:rsid w:val="00665986"/>
    <w:rPr>
      <w:rFonts w:ascii="Arial" w:hAnsi="Arial"/>
      <w:b/>
      <w:caps/>
      <w:sz w:val="28"/>
      <w:szCs w:val="28"/>
      <w:lang w:val="en-CA"/>
    </w:rPr>
  </w:style>
  <w:style w:type="paragraph" w:styleId="ListBullet">
    <w:name w:val="List Bullet"/>
    <w:basedOn w:val="Normal"/>
    <w:qFormat/>
    <w:rsid w:val="00665986"/>
    <w:pPr>
      <w:spacing w:after="120"/>
    </w:pPr>
  </w:style>
  <w:style w:type="paragraph" w:styleId="ListBullet2">
    <w:name w:val="List Bullet 2"/>
    <w:basedOn w:val="Normal"/>
    <w:unhideWhenUsed/>
    <w:rsid w:val="00665986"/>
    <w:pPr>
      <w:spacing w:after="120"/>
      <w:ind w:left="720"/>
      <w:contextualSpacing/>
    </w:pPr>
  </w:style>
  <w:style w:type="paragraph" w:styleId="ListNumber">
    <w:name w:val="List Number"/>
    <w:basedOn w:val="Normal"/>
    <w:unhideWhenUsed/>
    <w:rsid w:val="00665986"/>
    <w:pPr>
      <w:spacing w:after="120"/>
    </w:pPr>
  </w:style>
  <w:style w:type="paragraph" w:styleId="ListNumber2">
    <w:name w:val="List Number 2"/>
    <w:basedOn w:val="Normal"/>
    <w:unhideWhenUsed/>
    <w:rsid w:val="00665986"/>
    <w:pPr>
      <w:spacing w:after="120"/>
      <w:ind w:left="720"/>
    </w:pPr>
  </w:style>
  <w:style w:type="paragraph" w:customStyle="1" w:styleId="PageHeaderRegionsNameofthereport">
    <w:name w:val="Page Header: Region(s) + Name of the report"/>
    <w:basedOn w:val="BodyText"/>
    <w:link w:val="PageHeaderRegionsNameofthereportChar"/>
    <w:rsid w:val="00665986"/>
    <w:pPr>
      <w:spacing w:after="0"/>
    </w:pPr>
    <w:rPr>
      <w:b/>
      <w:lang w:val="en-CA"/>
    </w:rPr>
  </w:style>
  <w:style w:type="character" w:customStyle="1" w:styleId="PageHeaderRegionsNameofthereportChar">
    <w:name w:val="Page Header: Region(s) + Name of the report Char"/>
    <w:basedOn w:val="BodyTextChar"/>
    <w:link w:val="PageHeaderRegionsNameofthereport"/>
    <w:rsid w:val="00665986"/>
    <w:rPr>
      <w:rFonts w:ascii="Arial" w:hAnsi="Arial"/>
      <w:b/>
      <w:sz w:val="22"/>
      <w:lang w:val="en-CA"/>
    </w:rPr>
  </w:style>
  <w:style w:type="character" w:customStyle="1" w:styleId="StyleStyleHelvetica10ptBody">
    <w:name w:val="Style Style Helvetica 10 pt + +Body"/>
    <w:rsid w:val="00665986"/>
    <w:rPr>
      <w:rFonts w:ascii="Calibri" w:hAnsi="Calibri"/>
      <w:sz w:val="22"/>
    </w:rPr>
  </w:style>
  <w:style w:type="character" w:customStyle="1" w:styleId="UnresolvedMention">
    <w:name w:val="Unresolved Mention"/>
    <w:basedOn w:val="DefaultParagraphFont"/>
    <w:uiPriority w:val="99"/>
    <w:semiHidden/>
    <w:unhideWhenUsed/>
    <w:rsid w:val="006659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04249">
      <w:bodyDiv w:val="1"/>
      <w:marLeft w:val="0"/>
      <w:marRight w:val="0"/>
      <w:marTop w:val="0"/>
      <w:marBottom w:val="0"/>
      <w:divBdr>
        <w:top w:val="none" w:sz="0" w:space="0" w:color="auto"/>
        <w:left w:val="none" w:sz="0" w:space="0" w:color="auto"/>
        <w:bottom w:val="none" w:sz="0" w:space="0" w:color="auto"/>
        <w:right w:val="none" w:sz="0" w:space="0" w:color="auto"/>
      </w:divBdr>
    </w:div>
    <w:div w:id="162203025">
      <w:bodyDiv w:val="1"/>
      <w:marLeft w:val="0"/>
      <w:marRight w:val="0"/>
      <w:marTop w:val="0"/>
      <w:marBottom w:val="0"/>
      <w:divBdr>
        <w:top w:val="none" w:sz="0" w:space="0" w:color="auto"/>
        <w:left w:val="none" w:sz="0" w:space="0" w:color="auto"/>
        <w:bottom w:val="none" w:sz="0" w:space="0" w:color="auto"/>
        <w:right w:val="none" w:sz="0" w:space="0" w:color="auto"/>
      </w:divBdr>
    </w:div>
    <w:div w:id="242449534">
      <w:bodyDiv w:val="1"/>
      <w:marLeft w:val="0"/>
      <w:marRight w:val="0"/>
      <w:marTop w:val="0"/>
      <w:marBottom w:val="0"/>
      <w:divBdr>
        <w:top w:val="none" w:sz="0" w:space="0" w:color="auto"/>
        <w:left w:val="none" w:sz="0" w:space="0" w:color="auto"/>
        <w:bottom w:val="none" w:sz="0" w:space="0" w:color="auto"/>
        <w:right w:val="none" w:sz="0" w:space="0" w:color="auto"/>
      </w:divBdr>
    </w:div>
    <w:div w:id="353308840">
      <w:bodyDiv w:val="1"/>
      <w:marLeft w:val="0"/>
      <w:marRight w:val="0"/>
      <w:marTop w:val="0"/>
      <w:marBottom w:val="0"/>
      <w:divBdr>
        <w:top w:val="none" w:sz="0" w:space="0" w:color="auto"/>
        <w:left w:val="none" w:sz="0" w:space="0" w:color="auto"/>
        <w:bottom w:val="none" w:sz="0" w:space="0" w:color="auto"/>
        <w:right w:val="none" w:sz="0" w:space="0" w:color="auto"/>
      </w:divBdr>
    </w:div>
    <w:div w:id="528031433">
      <w:bodyDiv w:val="1"/>
      <w:marLeft w:val="0"/>
      <w:marRight w:val="0"/>
      <w:marTop w:val="0"/>
      <w:marBottom w:val="0"/>
      <w:divBdr>
        <w:top w:val="none" w:sz="0" w:space="0" w:color="auto"/>
        <w:left w:val="none" w:sz="0" w:space="0" w:color="auto"/>
        <w:bottom w:val="none" w:sz="0" w:space="0" w:color="auto"/>
        <w:right w:val="none" w:sz="0" w:space="0" w:color="auto"/>
      </w:divBdr>
    </w:div>
    <w:div w:id="638191263">
      <w:marLeft w:val="0"/>
      <w:marRight w:val="0"/>
      <w:marTop w:val="0"/>
      <w:marBottom w:val="0"/>
      <w:divBdr>
        <w:top w:val="none" w:sz="0" w:space="0" w:color="auto"/>
        <w:left w:val="none" w:sz="0" w:space="0" w:color="auto"/>
        <w:bottom w:val="none" w:sz="0" w:space="0" w:color="auto"/>
        <w:right w:val="none" w:sz="0" w:space="0" w:color="auto"/>
      </w:divBdr>
    </w:div>
    <w:div w:id="638191264">
      <w:marLeft w:val="0"/>
      <w:marRight w:val="0"/>
      <w:marTop w:val="0"/>
      <w:marBottom w:val="0"/>
      <w:divBdr>
        <w:top w:val="none" w:sz="0" w:space="0" w:color="auto"/>
        <w:left w:val="none" w:sz="0" w:space="0" w:color="auto"/>
        <w:bottom w:val="none" w:sz="0" w:space="0" w:color="auto"/>
        <w:right w:val="none" w:sz="0" w:space="0" w:color="auto"/>
      </w:divBdr>
    </w:div>
    <w:div w:id="638191265">
      <w:marLeft w:val="0"/>
      <w:marRight w:val="0"/>
      <w:marTop w:val="0"/>
      <w:marBottom w:val="0"/>
      <w:divBdr>
        <w:top w:val="none" w:sz="0" w:space="0" w:color="auto"/>
        <w:left w:val="none" w:sz="0" w:space="0" w:color="auto"/>
        <w:bottom w:val="none" w:sz="0" w:space="0" w:color="auto"/>
        <w:right w:val="none" w:sz="0" w:space="0" w:color="auto"/>
      </w:divBdr>
    </w:div>
    <w:div w:id="638191266">
      <w:marLeft w:val="0"/>
      <w:marRight w:val="0"/>
      <w:marTop w:val="0"/>
      <w:marBottom w:val="0"/>
      <w:divBdr>
        <w:top w:val="none" w:sz="0" w:space="0" w:color="auto"/>
        <w:left w:val="none" w:sz="0" w:space="0" w:color="auto"/>
        <w:bottom w:val="none" w:sz="0" w:space="0" w:color="auto"/>
        <w:right w:val="none" w:sz="0" w:space="0" w:color="auto"/>
      </w:divBdr>
    </w:div>
    <w:div w:id="638191267">
      <w:marLeft w:val="0"/>
      <w:marRight w:val="0"/>
      <w:marTop w:val="0"/>
      <w:marBottom w:val="0"/>
      <w:divBdr>
        <w:top w:val="none" w:sz="0" w:space="0" w:color="auto"/>
        <w:left w:val="none" w:sz="0" w:space="0" w:color="auto"/>
        <w:bottom w:val="none" w:sz="0" w:space="0" w:color="auto"/>
        <w:right w:val="none" w:sz="0" w:space="0" w:color="auto"/>
      </w:divBdr>
    </w:div>
    <w:div w:id="638191268">
      <w:marLeft w:val="0"/>
      <w:marRight w:val="0"/>
      <w:marTop w:val="0"/>
      <w:marBottom w:val="0"/>
      <w:divBdr>
        <w:top w:val="none" w:sz="0" w:space="0" w:color="auto"/>
        <w:left w:val="none" w:sz="0" w:space="0" w:color="auto"/>
        <w:bottom w:val="none" w:sz="0" w:space="0" w:color="auto"/>
        <w:right w:val="none" w:sz="0" w:space="0" w:color="auto"/>
      </w:divBdr>
    </w:div>
    <w:div w:id="638191269">
      <w:marLeft w:val="0"/>
      <w:marRight w:val="0"/>
      <w:marTop w:val="0"/>
      <w:marBottom w:val="0"/>
      <w:divBdr>
        <w:top w:val="none" w:sz="0" w:space="0" w:color="auto"/>
        <w:left w:val="none" w:sz="0" w:space="0" w:color="auto"/>
        <w:bottom w:val="none" w:sz="0" w:space="0" w:color="auto"/>
        <w:right w:val="none" w:sz="0" w:space="0" w:color="auto"/>
      </w:divBdr>
    </w:div>
    <w:div w:id="650790688">
      <w:bodyDiv w:val="1"/>
      <w:marLeft w:val="0"/>
      <w:marRight w:val="0"/>
      <w:marTop w:val="0"/>
      <w:marBottom w:val="0"/>
      <w:divBdr>
        <w:top w:val="none" w:sz="0" w:space="0" w:color="auto"/>
        <w:left w:val="none" w:sz="0" w:space="0" w:color="auto"/>
        <w:bottom w:val="none" w:sz="0" w:space="0" w:color="auto"/>
        <w:right w:val="none" w:sz="0" w:space="0" w:color="auto"/>
      </w:divBdr>
    </w:div>
    <w:div w:id="746806745">
      <w:bodyDiv w:val="1"/>
      <w:marLeft w:val="0"/>
      <w:marRight w:val="0"/>
      <w:marTop w:val="0"/>
      <w:marBottom w:val="0"/>
      <w:divBdr>
        <w:top w:val="none" w:sz="0" w:space="0" w:color="auto"/>
        <w:left w:val="none" w:sz="0" w:space="0" w:color="auto"/>
        <w:bottom w:val="none" w:sz="0" w:space="0" w:color="auto"/>
        <w:right w:val="none" w:sz="0" w:space="0" w:color="auto"/>
      </w:divBdr>
    </w:div>
    <w:div w:id="878055194">
      <w:bodyDiv w:val="1"/>
      <w:marLeft w:val="0"/>
      <w:marRight w:val="0"/>
      <w:marTop w:val="0"/>
      <w:marBottom w:val="0"/>
      <w:divBdr>
        <w:top w:val="none" w:sz="0" w:space="0" w:color="auto"/>
        <w:left w:val="none" w:sz="0" w:space="0" w:color="auto"/>
        <w:bottom w:val="none" w:sz="0" w:space="0" w:color="auto"/>
        <w:right w:val="none" w:sz="0" w:space="0" w:color="auto"/>
      </w:divBdr>
    </w:div>
    <w:div w:id="938756002">
      <w:bodyDiv w:val="1"/>
      <w:marLeft w:val="0"/>
      <w:marRight w:val="0"/>
      <w:marTop w:val="0"/>
      <w:marBottom w:val="0"/>
      <w:divBdr>
        <w:top w:val="none" w:sz="0" w:space="0" w:color="auto"/>
        <w:left w:val="none" w:sz="0" w:space="0" w:color="auto"/>
        <w:bottom w:val="none" w:sz="0" w:space="0" w:color="auto"/>
        <w:right w:val="none" w:sz="0" w:space="0" w:color="auto"/>
      </w:divBdr>
    </w:div>
    <w:div w:id="960067396">
      <w:bodyDiv w:val="1"/>
      <w:marLeft w:val="0"/>
      <w:marRight w:val="0"/>
      <w:marTop w:val="0"/>
      <w:marBottom w:val="0"/>
      <w:divBdr>
        <w:top w:val="none" w:sz="0" w:space="0" w:color="auto"/>
        <w:left w:val="none" w:sz="0" w:space="0" w:color="auto"/>
        <w:bottom w:val="none" w:sz="0" w:space="0" w:color="auto"/>
        <w:right w:val="none" w:sz="0" w:space="0" w:color="auto"/>
      </w:divBdr>
    </w:div>
    <w:div w:id="1001811057">
      <w:bodyDiv w:val="1"/>
      <w:marLeft w:val="0"/>
      <w:marRight w:val="0"/>
      <w:marTop w:val="0"/>
      <w:marBottom w:val="0"/>
      <w:divBdr>
        <w:top w:val="none" w:sz="0" w:space="0" w:color="auto"/>
        <w:left w:val="none" w:sz="0" w:space="0" w:color="auto"/>
        <w:bottom w:val="none" w:sz="0" w:space="0" w:color="auto"/>
        <w:right w:val="none" w:sz="0" w:space="0" w:color="auto"/>
      </w:divBdr>
    </w:div>
    <w:div w:id="1313680027">
      <w:bodyDiv w:val="1"/>
      <w:marLeft w:val="0"/>
      <w:marRight w:val="0"/>
      <w:marTop w:val="0"/>
      <w:marBottom w:val="0"/>
      <w:divBdr>
        <w:top w:val="none" w:sz="0" w:space="0" w:color="auto"/>
        <w:left w:val="none" w:sz="0" w:space="0" w:color="auto"/>
        <w:bottom w:val="none" w:sz="0" w:space="0" w:color="auto"/>
        <w:right w:val="none" w:sz="0" w:space="0" w:color="auto"/>
      </w:divBdr>
    </w:div>
    <w:div w:id="1386640440">
      <w:bodyDiv w:val="1"/>
      <w:marLeft w:val="0"/>
      <w:marRight w:val="0"/>
      <w:marTop w:val="0"/>
      <w:marBottom w:val="0"/>
      <w:divBdr>
        <w:top w:val="none" w:sz="0" w:space="0" w:color="auto"/>
        <w:left w:val="none" w:sz="0" w:space="0" w:color="auto"/>
        <w:bottom w:val="none" w:sz="0" w:space="0" w:color="auto"/>
        <w:right w:val="none" w:sz="0" w:space="0" w:color="auto"/>
      </w:divBdr>
    </w:div>
    <w:div w:id="1446734306">
      <w:bodyDiv w:val="1"/>
      <w:marLeft w:val="0"/>
      <w:marRight w:val="0"/>
      <w:marTop w:val="0"/>
      <w:marBottom w:val="0"/>
      <w:divBdr>
        <w:top w:val="none" w:sz="0" w:space="0" w:color="auto"/>
        <w:left w:val="none" w:sz="0" w:space="0" w:color="auto"/>
        <w:bottom w:val="none" w:sz="0" w:space="0" w:color="auto"/>
        <w:right w:val="none" w:sz="0" w:space="0" w:color="auto"/>
      </w:divBdr>
    </w:div>
    <w:div w:id="1479762849">
      <w:bodyDiv w:val="1"/>
      <w:marLeft w:val="0"/>
      <w:marRight w:val="0"/>
      <w:marTop w:val="0"/>
      <w:marBottom w:val="0"/>
      <w:divBdr>
        <w:top w:val="none" w:sz="0" w:space="0" w:color="auto"/>
        <w:left w:val="none" w:sz="0" w:space="0" w:color="auto"/>
        <w:bottom w:val="none" w:sz="0" w:space="0" w:color="auto"/>
        <w:right w:val="none" w:sz="0" w:space="0" w:color="auto"/>
      </w:divBdr>
    </w:div>
    <w:div w:id="1507404350">
      <w:bodyDiv w:val="1"/>
      <w:marLeft w:val="0"/>
      <w:marRight w:val="0"/>
      <w:marTop w:val="0"/>
      <w:marBottom w:val="0"/>
      <w:divBdr>
        <w:top w:val="none" w:sz="0" w:space="0" w:color="auto"/>
        <w:left w:val="none" w:sz="0" w:space="0" w:color="auto"/>
        <w:bottom w:val="none" w:sz="0" w:space="0" w:color="auto"/>
        <w:right w:val="none" w:sz="0" w:space="0" w:color="auto"/>
      </w:divBdr>
    </w:div>
    <w:div w:id="1624723920">
      <w:bodyDiv w:val="1"/>
      <w:marLeft w:val="0"/>
      <w:marRight w:val="0"/>
      <w:marTop w:val="0"/>
      <w:marBottom w:val="0"/>
      <w:divBdr>
        <w:top w:val="none" w:sz="0" w:space="0" w:color="auto"/>
        <w:left w:val="none" w:sz="0" w:space="0" w:color="auto"/>
        <w:bottom w:val="none" w:sz="0" w:space="0" w:color="auto"/>
        <w:right w:val="none" w:sz="0" w:space="0" w:color="auto"/>
      </w:divBdr>
    </w:div>
    <w:div w:id="1661735830">
      <w:bodyDiv w:val="1"/>
      <w:marLeft w:val="0"/>
      <w:marRight w:val="0"/>
      <w:marTop w:val="0"/>
      <w:marBottom w:val="0"/>
      <w:divBdr>
        <w:top w:val="none" w:sz="0" w:space="0" w:color="auto"/>
        <w:left w:val="none" w:sz="0" w:space="0" w:color="auto"/>
        <w:bottom w:val="none" w:sz="0" w:space="0" w:color="auto"/>
        <w:right w:val="none" w:sz="0" w:space="0" w:color="auto"/>
      </w:divBdr>
    </w:div>
    <w:div w:id="1754206297">
      <w:bodyDiv w:val="1"/>
      <w:marLeft w:val="0"/>
      <w:marRight w:val="0"/>
      <w:marTop w:val="0"/>
      <w:marBottom w:val="0"/>
      <w:divBdr>
        <w:top w:val="none" w:sz="0" w:space="0" w:color="auto"/>
        <w:left w:val="none" w:sz="0" w:space="0" w:color="auto"/>
        <w:bottom w:val="none" w:sz="0" w:space="0" w:color="auto"/>
        <w:right w:val="none" w:sz="0" w:space="0" w:color="auto"/>
      </w:divBdr>
    </w:div>
    <w:div w:id="1928926342">
      <w:bodyDiv w:val="1"/>
      <w:marLeft w:val="0"/>
      <w:marRight w:val="0"/>
      <w:marTop w:val="0"/>
      <w:marBottom w:val="0"/>
      <w:divBdr>
        <w:top w:val="none" w:sz="0" w:space="0" w:color="auto"/>
        <w:left w:val="none" w:sz="0" w:space="0" w:color="auto"/>
        <w:bottom w:val="none" w:sz="0" w:space="0" w:color="auto"/>
        <w:right w:val="none" w:sz="0" w:space="0" w:color="auto"/>
      </w:divBdr>
    </w:div>
    <w:div w:id="1952396299">
      <w:bodyDiv w:val="1"/>
      <w:marLeft w:val="0"/>
      <w:marRight w:val="0"/>
      <w:marTop w:val="0"/>
      <w:marBottom w:val="0"/>
      <w:divBdr>
        <w:top w:val="none" w:sz="0" w:space="0" w:color="auto"/>
        <w:left w:val="none" w:sz="0" w:space="0" w:color="auto"/>
        <w:bottom w:val="none" w:sz="0" w:space="0" w:color="auto"/>
        <w:right w:val="none" w:sz="0" w:space="0" w:color="auto"/>
      </w:divBdr>
    </w:div>
    <w:div w:id="2037071489">
      <w:bodyDiv w:val="1"/>
      <w:marLeft w:val="0"/>
      <w:marRight w:val="0"/>
      <w:marTop w:val="0"/>
      <w:marBottom w:val="0"/>
      <w:divBdr>
        <w:top w:val="none" w:sz="0" w:space="0" w:color="auto"/>
        <w:left w:val="none" w:sz="0" w:space="0" w:color="auto"/>
        <w:bottom w:val="none" w:sz="0" w:space="0" w:color="auto"/>
        <w:right w:val="none" w:sz="0" w:space="0" w:color="auto"/>
      </w:divBdr>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nefsc.noaa.gov/saw/trac/trac-process-overview-2017.pdf" TargetMode="External"/><Relationship Id="rId22" Type="http://schemas.openxmlformats.org/officeDocument/2006/relationships/header" Target="header5.xml"/></Relationships>
</file>

<file path=word/_rels/foot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bio.gc.ca/info/intercol/trac-cert/index-eng.php"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794286-1695-4600-8857-171E916BE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10</Pages>
  <Words>2613</Words>
  <Characters>13155</Characters>
  <Application>Microsoft Office Word</Application>
  <DocSecurity>0</DocSecurity>
  <Lines>109</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Aiglefin de l'est du banc de Georges</vt:lpstr>
      <vt:lpstr>Aiglefin de l'est du banc de Georges</vt:lpstr>
    </vt:vector>
  </TitlesOfParts>
  <Company>MPO</Company>
  <LinksUpToDate>false</LinksUpToDate>
  <CharactersWithSpaces>15737</CharactersWithSpaces>
  <SharedDoc>false</SharedDoc>
  <HLinks>
    <vt:vector size="6" baseType="variant">
      <vt:variant>
        <vt:i4>458752</vt:i4>
      </vt:variant>
      <vt:variant>
        <vt:i4>0</vt:i4>
      </vt:variant>
      <vt:variant>
        <vt:i4>0</vt:i4>
      </vt:variant>
      <vt:variant>
        <vt:i4>5</vt:i4>
      </vt:variant>
      <vt:variant>
        <vt:lpwstr>http://www.nefsc.noaa.gov/nefsc/publications/crd/crd0815/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Aiglefin de l'est du banc de Georges</dc:title>
  <dc:creator>Stratis Gavaris</dc:creator>
  <cp:lastModifiedBy>Smith, Charlotte</cp:lastModifiedBy>
  <cp:revision>5</cp:revision>
  <cp:lastPrinted>2020-06-26T17:59:00Z</cp:lastPrinted>
  <dcterms:created xsi:type="dcterms:W3CDTF">2019-11-20T15:11:00Z</dcterms:created>
  <dcterms:modified xsi:type="dcterms:W3CDTF">2020-06-26T18:04:00Z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nPrepV5.0.2">
    <vt:lpwstr>10/7/2019 2:38:40 PM</vt:lpwstr>
  </property>
  <property fmtid="{D5CDD505-2E9C-101B-9397-08002B2CF9AE}" pid="3" name="MSIP_Label_1bfb733f-faef-464c-9b6d-731b56f94973_Enabled">
    <vt:lpwstr>true</vt:lpwstr>
  </property>
  <property fmtid="{D5CDD505-2E9C-101B-9397-08002B2CF9AE}" pid="4" name="MSIP_Label_1bfb733f-faef-464c-9b6d-731b56f94973_SetDate">
    <vt:lpwstr>2020-06-26T17:22:49Z</vt:lpwstr>
  </property>
  <property fmtid="{D5CDD505-2E9C-101B-9397-08002B2CF9AE}" pid="5" name="MSIP_Label_1bfb733f-faef-464c-9b6d-731b56f94973_Method">
    <vt:lpwstr>Standard</vt:lpwstr>
  </property>
  <property fmtid="{D5CDD505-2E9C-101B-9397-08002B2CF9AE}" pid="6" name="MSIP_Label_1bfb733f-faef-464c-9b6d-731b56f94973_Name">
    <vt:lpwstr>Unclass - Non-Classifié</vt:lpwstr>
  </property>
  <property fmtid="{D5CDD505-2E9C-101B-9397-08002B2CF9AE}" pid="7" name="MSIP_Label_1bfb733f-faef-464c-9b6d-731b56f94973_SiteId">
    <vt:lpwstr>1594fdae-a1d9-4405-915d-011467234338</vt:lpwstr>
  </property>
  <property fmtid="{D5CDD505-2E9C-101B-9397-08002B2CF9AE}" pid="8" name="MSIP_Label_1bfb733f-faef-464c-9b6d-731b56f94973_ActionId">
    <vt:lpwstr>c30f63a7-082b-4998-8f3b-00006f313a5c</vt:lpwstr>
  </property>
</Properties>
</file>